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87FDA" w14:textId="13C58F5E" w:rsidR="00E73BFA" w:rsidRDefault="00E73BFA" w:rsidP="00E73BFA">
      <w:pPr>
        <w:pStyle w:val="Header"/>
        <w:tabs>
          <w:tab w:val="right" w:pos="9781"/>
          <w:tab w:val="right" w:pos="13323"/>
        </w:tabs>
        <w:spacing w:before="60" w:after="60"/>
        <w:outlineLvl w:val="0"/>
        <w:rPr>
          <w:rFonts w:eastAsia="SimSun" w:cs="Arial"/>
          <w:sz w:val="24"/>
          <w:szCs w:val="24"/>
        </w:rPr>
      </w:pPr>
      <w:bookmarkStart w:id="0" w:name="Title"/>
      <w:bookmarkEnd w:id="0"/>
      <w:r w:rsidRPr="00F542A0">
        <w:rPr>
          <w:rFonts w:eastAsia="SimSun" w:cs="Arial"/>
          <w:sz w:val="24"/>
          <w:szCs w:val="24"/>
        </w:rPr>
        <w:t>3GPP TSG-RAN WG4 Meeting #114</w:t>
      </w:r>
      <w:r>
        <w:rPr>
          <w:rFonts w:eastAsia="SimSun" w:cs="Arial"/>
          <w:sz w:val="24"/>
          <w:szCs w:val="24"/>
        </w:rPr>
        <w:t>bis</w:t>
      </w:r>
      <w:r w:rsidRPr="00F542A0">
        <w:rPr>
          <w:rFonts w:eastAsia="SimSun" w:cs="Arial"/>
          <w:sz w:val="24"/>
          <w:szCs w:val="24"/>
        </w:rPr>
        <w:tab/>
      </w:r>
      <w:r w:rsidR="00CD00C8" w:rsidRPr="00CD00C8">
        <w:rPr>
          <w:rFonts w:eastAsia="SimSun" w:cs="Arial"/>
          <w:sz w:val="24"/>
          <w:szCs w:val="24"/>
        </w:rPr>
        <w:t>R4-2503535</w:t>
      </w:r>
    </w:p>
    <w:p w14:paraId="0CEDCA0E" w14:textId="77777777" w:rsidR="00E73BFA" w:rsidRPr="00F542A0" w:rsidRDefault="00E73BFA" w:rsidP="00E73BFA">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Wuhan, China</w:t>
      </w:r>
      <w:r w:rsidRPr="00F542A0">
        <w:rPr>
          <w:rFonts w:eastAsia="SimSun" w:cs="Arial"/>
          <w:sz w:val="24"/>
          <w:szCs w:val="24"/>
        </w:rPr>
        <w:t>, 7</w:t>
      </w:r>
      <w:r w:rsidRPr="00F542A0">
        <w:rPr>
          <w:rFonts w:eastAsia="SimSun" w:cs="Arial"/>
          <w:sz w:val="24"/>
          <w:szCs w:val="24"/>
          <w:vertAlign w:val="superscript"/>
        </w:rPr>
        <w:t>th</w:t>
      </w:r>
      <w:r w:rsidRPr="00F542A0">
        <w:rPr>
          <w:rFonts w:eastAsia="SimSun" w:cs="Arial"/>
          <w:sz w:val="24"/>
          <w:szCs w:val="24"/>
        </w:rPr>
        <w:t xml:space="preserve"> – </w:t>
      </w:r>
      <w:r>
        <w:rPr>
          <w:rFonts w:eastAsia="SimSun" w:cs="Arial"/>
          <w:sz w:val="24"/>
          <w:szCs w:val="24"/>
        </w:rPr>
        <w:t>1</w:t>
      </w:r>
      <w:r w:rsidRPr="00F542A0">
        <w:rPr>
          <w:rFonts w:eastAsia="SimSun" w:cs="Arial"/>
          <w:sz w:val="24"/>
          <w:szCs w:val="24"/>
        </w:rPr>
        <w:t>1</w:t>
      </w:r>
      <w:r>
        <w:rPr>
          <w:rFonts w:eastAsia="SimSun" w:cs="Arial"/>
          <w:sz w:val="24"/>
          <w:szCs w:val="24"/>
          <w:vertAlign w:val="superscript"/>
        </w:rPr>
        <w:t>th</w:t>
      </w:r>
      <w:r w:rsidRPr="00F542A0">
        <w:rPr>
          <w:rFonts w:eastAsia="SimSun" w:cs="Arial"/>
          <w:sz w:val="24"/>
          <w:szCs w:val="24"/>
        </w:rPr>
        <w:t xml:space="preserve"> </w:t>
      </w:r>
      <w:r>
        <w:rPr>
          <w:rFonts w:eastAsia="SimSun" w:cs="Arial"/>
          <w:sz w:val="24"/>
          <w:szCs w:val="24"/>
        </w:rPr>
        <w:t>April</w:t>
      </w:r>
      <w:r w:rsidRPr="00F542A0">
        <w:rPr>
          <w:rFonts w:eastAsia="SimSun" w:cs="Arial"/>
          <w:sz w:val="24"/>
          <w:szCs w:val="24"/>
        </w:rPr>
        <w:t>, 2025</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265A6135"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832F6">
        <w:rPr>
          <w:rFonts w:ascii="Arial" w:hAnsi="Arial" w:cs="Arial"/>
          <w:b/>
          <w:sz w:val="22"/>
          <w:szCs w:val="22"/>
        </w:rPr>
        <w:t>7</w:t>
      </w:r>
      <w:r w:rsidR="00D0548B" w:rsidRPr="00D0548B">
        <w:rPr>
          <w:rFonts w:ascii="Arial" w:hAnsi="Arial" w:cs="Arial"/>
          <w:b/>
          <w:sz w:val="22"/>
          <w:szCs w:val="22"/>
        </w:rPr>
        <w:t>.2</w:t>
      </w:r>
      <w:r w:rsidR="009862F3">
        <w:rPr>
          <w:rFonts w:ascii="Arial" w:hAnsi="Arial" w:cs="Arial" w:hint="eastAsia"/>
          <w:b/>
          <w:sz w:val="22"/>
          <w:szCs w:val="22"/>
        </w:rPr>
        <w:t>9</w:t>
      </w:r>
      <w:r w:rsidR="00D0548B" w:rsidRPr="00D0548B">
        <w:rPr>
          <w:rFonts w:ascii="Arial" w:hAnsi="Arial" w:cs="Arial"/>
          <w:b/>
          <w:sz w:val="22"/>
          <w:szCs w:val="22"/>
        </w:rPr>
        <w:t>.4.1</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73DB0DD"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On R19 NTN (e)RedCap RRM requirements</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4E412F4" w14:textId="190CA38E" w:rsidR="00CD3CF7" w:rsidRDefault="00CD3CF7" w:rsidP="00CD3CF7">
      <w:pPr>
        <w:jc w:val="both"/>
      </w:pPr>
      <w:r>
        <w:rPr>
          <w:rFonts w:hint="eastAsia"/>
        </w:rPr>
        <w:t>T</w:t>
      </w:r>
      <w:r w:rsidRPr="003302A0">
        <w:t xml:space="preserve">he </w:t>
      </w:r>
      <w:r w:rsidRPr="00CD3CF7">
        <w:t xml:space="preserve">WF on RRM requirements for Rel-19 NR NTN phase3 </w:t>
      </w:r>
      <w:r w:rsidRPr="003302A0">
        <w:t xml:space="preserve">[1] has been </w:t>
      </w:r>
      <w:r>
        <w:t>agreed</w:t>
      </w:r>
      <w:r>
        <w:rPr>
          <w:rFonts w:hint="eastAsia"/>
        </w:rPr>
        <w:t xml:space="preserve"> in </w:t>
      </w:r>
      <w:r>
        <w:t>RAN4#11</w:t>
      </w:r>
      <w:r w:rsidR="001C60AA">
        <w:t>4</w:t>
      </w:r>
      <w:r>
        <w:t>, and the open issues have been summarized in the t</w:t>
      </w:r>
      <w:r w:rsidRPr="00A34030">
        <w:t xml:space="preserve">opic summary for </w:t>
      </w:r>
      <w:r w:rsidR="001C60AA" w:rsidRPr="001C60AA">
        <w:rPr>
          <w:rFonts w:cs="Arial"/>
        </w:rPr>
        <w:t>[114][229] NR_NTN_Ph3_Part1</w:t>
      </w:r>
      <w:r w:rsidRPr="00202466">
        <w:t xml:space="preserve"> </w:t>
      </w:r>
      <w:r>
        <w:t xml:space="preserve">[2]. </w:t>
      </w:r>
    </w:p>
    <w:p w14:paraId="485E75B3" w14:textId="304C50F4" w:rsidR="00AA51CD" w:rsidRDefault="00AA51CD" w:rsidP="00B06DCC">
      <w:pPr>
        <w:spacing w:after="120"/>
        <w:jc w:val="both"/>
      </w:pPr>
      <w:r>
        <w:t xml:space="preserve">In this contribution, we </w:t>
      </w:r>
      <w:r w:rsidR="00CD3CF7">
        <w:t xml:space="preserve">continue the </w:t>
      </w:r>
      <w:r>
        <w:t>discuss</w:t>
      </w:r>
      <w:r w:rsidR="00CD3CF7">
        <w:t>ion on</w:t>
      </w:r>
      <w:r>
        <w:t xml:space="preserve"> the RRM requirement for </w:t>
      </w:r>
      <w:r w:rsidR="00CD3CF7" w:rsidRPr="00CD3CF7">
        <w:t>R19 NTN (e)RedCap</w:t>
      </w:r>
      <w:r>
        <w:t>.</w:t>
      </w:r>
    </w:p>
    <w:p w14:paraId="18D3FB65" w14:textId="04BFA8C8" w:rsidR="00E01145" w:rsidRDefault="00E01145" w:rsidP="00E01145">
      <w:pPr>
        <w:pStyle w:val="Heading1"/>
        <w:numPr>
          <w:ilvl w:val="0"/>
          <w:numId w:val="10"/>
        </w:numPr>
        <w:pBdr>
          <w:top w:val="single" w:sz="12" w:space="2" w:color="auto"/>
        </w:pBdr>
        <w:jc w:val="both"/>
        <w:rPr>
          <w:rFonts w:eastAsia="Malgun Gothic"/>
          <w:lang w:val="en-US" w:eastAsia="ko-KR"/>
        </w:rPr>
      </w:pPr>
      <w:r w:rsidRPr="00E01145">
        <w:rPr>
          <w:sz w:val="32"/>
        </w:rPr>
        <w:t xml:space="preserve">RRM for </w:t>
      </w:r>
      <w:r>
        <w:rPr>
          <w:rFonts w:eastAsia="Malgun Gothic"/>
          <w:lang w:val="en-US" w:eastAsia="ko-KR"/>
        </w:rPr>
        <w:t>s</w:t>
      </w:r>
      <w:r w:rsidRPr="009431DD">
        <w:rPr>
          <w:rFonts w:eastAsia="Malgun Gothic"/>
          <w:lang w:val="en-US" w:eastAsia="ko-KR"/>
        </w:rPr>
        <w:t>upport of Rel-17 RedCap and Rel-18 eRedCap UEs with NR NTN</w:t>
      </w:r>
    </w:p>
    <w:p w14:paraId="235F4751" w14:textId="3D3F94A4" w:rsidR="00C07E73" w:rsidRPr="00C07E73" w:rsidRDefault="001C60AA" w:rsidP="00C07E73">
      <w:pPr>
        <w:rPr>
          <w:b/>
          <w:bCs/>
          <w:u w:val="single"/>
          <w:lang w:eastAsia="ko-KR"/>
        </w:rPr>
      </w:pPr>
      <w:r w:rsidRPr="001C60AA">
        <w:rPr>
          <w:b/>
          <w:bCs/>
          <w:u w:val="single"/>
          <w:lang w:eastAsia="ko-KR"/>
        </w:rPr>
        <w:t>Issue 1-2-3: SMTCs and 'in parallel' related</w:t>
      </w:r>
    </w:p>
    <w:tbl>
      <w:tblPr>
        <w:tblStyle w:val="TableGrid"/>
        <w:tblW w:w="0" w:type="auto"/>
        <w:tblLook w:val="04A0" w:firstRow="1" w:lastRow="0" w:firstColumn="1" w:lastColumn="0" w:noHBand="0" w:noVBand="1"/>
      </w:tblPr>
      <w:tblGrid>
        <w:gridCol w:w="9962"/>
      </w:tblGrid>
      <w:tr w:rsidR="00C07E73" w14:paraId="632F7A24" w14:textId="77777777" w:rsidTr="00C07E73">
        <w:tc>
          <w:tcPr>
            <w:tcW w:w="9962" w:type="dxa"/>
          </w:tcPr>
          <w:p w14:paraId="2401CD45" w14:textId="77777777" w:rsidR="001C60AA" w:rsidRPr="001C60AA" w:rsidRDefault="001C60AA" w:rsidP="001C60AA">
            <w:pPr>
              <w:pStyle w:val="Heading5"/>
              <w:spacing w:before="0" w:after="0"/>
              <w:rPr>
                <w:rFonts w:ascii="Times New Roman" w:hAnsi="Times New Roman"/>
                <w:sz w:val="20"/>
                <w:u w:val="single"/>
              </w:rPr>
            </w:pPr>
            <w:r w:rsidRPr="001C60AA">
              <w:rPr>
                <w:rFonts w:ascii="Times New Roman" w:hAnsi="Times New Roman"/>
                <w:sz w:val="20"/>
                <w:u w:val="single"/>
                <w:lang w:eastAsia="ko-KR"/>
              </w:rPr>
              <w:t xml:space="preserve">Issue </w:t>
            </w:r>
            <w:r w:rsidRPr="001C60AA">
              <w:rPr>
                <w:rFonts w:ascii="Times New Roman" w:hAnsi="Times New Roman"/>
                <w:sz w:val="20"/>
                <w:u w:val="single"/>
              </w:rPr>
              <w:t>1</w:t>
            </w:r>
            <w:r w:rsidRPr="001C60AA">
              <w:rPr>
                <w:rFonts w:ascii="Times New Roman" w:hAnsi="Times New Roman"/>
                <w:sz w:val="20"/>
                <w:u w:val="single"/>
                <w:lang w:eastAsia="ko-KR"/>
              </w:rPr>
              <w:t>-</w:t>
            </w:r>
            <w:r w:rsidRPr="001C60AA">
              <w:rPr>
                <w:rFonts w:ascii="Times New Roman" w:hAnsi="Times New Roman"/>
                <w:sz w:val="20"/>
                <w:u w:val="single"/>
              </w:rPr>
              <w:t>2</w:t>
            </w:r>
            <w:r w:rsidRPr="001C60AA">
              <w:rPr>
                <w:rFonts w:ascii="Times New Roman" w:hAnsi="Times New Roman"/>
                <w:sz w:val="20"/>
                <w:u w:val="single"/>
                <w:lang w:eastAsia="ko-KR"/>
              </w:rPr>
              <w:t>-</w:t>
            </w:r>
            <w:r w:rsidRPr="001C60AA">
              <w:rPr>
                <w:rFonts w:ascii="Times New Roman" w:hAnsi="Times New Roman" w:hint="eastAsia"/>
                <w:sz w:val="20"/>
                <w:u w:val="single"/>
              </w:rPr>
              <w:t>3-1</w:t>
            </w:r>
            <w:r w:rsidRPr="001C60AA">
              <w:rPr>
                <w:rFonts w:ascii="Times New Roman" w:hAnsi="Times New Roman"/>
                <w:sz w:val="20"/>
                <w:u w:val="single"/>
                <w:lang w:eastAsia="ko-KR"/>
              </w:rPr>
              <w:t>: Feature 25-1</w:t>
            </w:r>
            <w:r w:rsidRPr="001C60AA">
              <w:rPr>
                <w:rFonts w:ascii="Times New Roman" w:hAnsi="Times New Roman" w:hint="eastAsia"/>
                <w:sz w:val="20"/>
                <w:u w:val="single"/>
              </w:rPr>
              <w:t>(</w:t>
            </w:r>
            <w:proofErr w:type="spellStart"/>
            <w:r w:rsidRPr="001C60AA">
              <w:rPr>
                <w:rFonts w:ascii="Times New Roman" w:hAnsi="Times New Roman"/>
                <w:i/>
                <w:sz w:val="20"/>
                <w:u w:val="single"/>
                <w:lang w:eastAsia="ko-KR"/>
              </w:rPr>
              <w:t>parallelS</w:t>
            </w:r>
            <w:r w:rsidRPr="001C60AA">
              <w:rPr>
                <w:rFonts w:ascii="Times New Roman" w:hAnsi="Times New Roman" w:hint="eastAsia"/>
                <w:i/>
                <w:sz w:val="20"/>
                <w:u w:val="single"/>
              </w:rPr>
              <w:t>MTC</w:t>
            </w:r>
            <w:proofErr w:type="spellEnd"/>
            <w:r w:rsidRPr="001C60AA">
              <w:rPr>
                <w:rFonts w:ascii="Times New Roman" w:hAnsi="Times New Roman" w:hint="eastAsia"/>
                <w:sz w:val="20"/>
                <w:u w:val="single"/>
              </w:rPr>
              <w:t>)</w:t>
            </w:r>
          </w:p>
          <w:p w14:paraId="742C99F1" w14:textId="77777777" w:rsidR="001C60AA" w:rsidRPr="001C60AA" w:rsidRDefault="001C60AA" w:rsidP="001C60AA">
            <w:pPr>
              <w:spacing w:before="0" w:beforeAutospacing="0" w:after="0"/>
              <w:rPr>
                <w:i/>
                <w:color w:val="0070C0"/>
                <w:sz w:val="20"/>
                <w:szCs w:val="20"/>
              </w:rPr>
            </w:pPr>
            <w:r w:rsidRPr="001C60AA">
              <w:rPr>
                <w:i/>
                <w:color w:val="0070C0"/>
                <w:sz w:val="20"/>
                <w:szCs w:val="20"/>
              </w:rPr>
              <w:t>O</w:t>
            </w:r>
            <w:r w:rsidRPr="001C60AA">
              <w:rPr>
                <w:rFonts w:hint="eastAsia"/>
                <w:i/>
                <w:color w:val="0070C0"/>
                <w:sz w:val="20"/>
                <w:szCs w:val="20"/>
              </w:rPr>
              <w:t>nline discussion</w:t>
            </w:r>
          </w:p>
          <w:p w14:paraId="6E1AB67F" w14:textId="77777777" w:rsidR="001C60AA" w:rsidRPr="001C60AA" w:rsidRDefault="001C60AA" w:rsidP="001C60AA">
            <w:pPr>
              <w:spacing w:before="0" w:beforeAutospacing="0" w:after="0"/>
              <w:rPr>
                <w:b/>
                <w:sz w:val="20"/>
                <w:szCs w:val="20"/>
              </w:rPr>
            </w:pPr>
            <w:r w:rsidRPr="001C60AA">
              <w:rPr>
                <w:b/>
                <w:sz w:val="20"/>
                <w:szCs w:val="20"/>
              </w:rPr>
              <w:t>&lt;Way Forward&gt;</w:t>
            </w:r>
            <w:r w:rsidRPr="001C60AA">
              <w:rPr>
                <w:rFonts w:hint="eastAsia"/>
                <w:b/>
                <w:sz w:val="20"/>
                <w:szCs w:val="20"/>
              </w:rPr>
              <w:t>:</w:t>
            </w:r>
          </w:p>
          <w:p w14:paraId="11D82166" w14:textId="77777777" w:rsidR="001C60AA" w:rsidRPr="001C60AA" w:rsidRDefault="001C60AA" w:rsidP="001C60AA">
            <w:pPr>
              <w:snapToGrid w:val="0"/>
              <w:spacing w:before="0" w:beforeAutospacing="0" w:after="0"/>
              <w:rPr>
                <w:sz w:val="20"/>
                <w:szCs w:val="20"/>
              </w:rPr>
            </w:pPr>
            <w:r w:rsidRPr="001C60AA">
              <w:rPr>
                <w:rFonts w:hint="eastAsia"/>
                <w:sz w:val="20"/>
                <w:szCs w:val="20"/>
              </w:rPr>
              <w:t>O</w:t>
            </w:r>
            <w:r w:rsidRPr="001C60AA">
              <w:rPr>
                <w:sz w:val="20"/>
                <w:szCs w:val="20"/>
              </w:rPr>
              <w:t>ptions for further discussion:</w:t>
            </w:r>
          </w:p>
          <w:p w14:paraId="2B85F1E4" w14:textId="77777777" w:rsidR="001C60AA" w:rsidRPr="001C60AA" w:rsidRDefault="001C60AA" w:rsidP="001C60AA">
            <w:pPr>
              <w:snapToGrid w:val="0"/>
              <w:spacing w:before="0" w:beforeAutospacing="0" w:after="0"/>
              <w:rPr>
                <w:sz w:val="20"/>
                <w:szCs w:val="20"/>
              </w:rPr>
            </w:pPr>
            <w:r w:rsidRPr="001C60AA">
              <w:rPr>
                <w:sz w:val="20"/>
                <w:szCs w:val="20"/>
              </w:rPr>
              <w:t xml:space="preserve">If not differentiate 1Rx and 2Rx </w:t>
            </w:r>
            <w:proofErr w:type="spellStart"/>
            <w:r w:rsidRPr="001C60AA">
              <w:rPr>
                <w:rFonts w:hint="eastAsia"/>
                <w:sz w:val="20"/>
                <w:szCs w:val="20"/>
              </w:rPr>
              <w:t>RedCap</w:t>
            </w:r>
            <w:proofErr w:type="spellEnd"/>
            <w:r w:rsidRPr="001C60AA">
              <w:rPr>
                <w:rFonts w:hint="eastAsia"/>
                <w:sz w:val="20"/>
                <w:szCs w:val="20"/>
              </w:rPr>
              <w:t xml:space="preserve"> </w:t>
            </w:r>
            <w:r w:rsidRPr="001C60AA">
              <w:rPr>
                <w:sz w:val="20"/>
                <w:szCs w:val="20"/>
              </w:rPr>
              <w:t xml:space="preserve">UEs, the </w:t>
            </w:r>
            <w:r w:rsidRPr="001C60AA">
              <w:rPr>
                <w:b/>
                <w:sz w:val="20"/>
                <w:szCs w:val="20"/>
              </w:rPr>
              <w:t>baseline</w:t>
            </w:r>
            <w:r w:rsidRPr="001C60AA">
              <w:rPr>
                <w:sz w:val="20"/>
                <w:szCs w:val="20"/>
              </w:rPr>
              <w:t xml:space="preserve"> for UE capability is:</w:t>
            </w:r>
          </w:p>
          <w:p w14:paraId="4C9D7545" w14:textId="77777777" w:rsidR="001C60AA" w:rsidRPr="001C60AA" w:rsidRDefault="001C60AA" w:rsidP="001C60AA">
            <w:pPr>
              <w:pStyle w:val="ListParagraph"/>
              <w:widowControl/>
              <w:numPr>
                <w:ilvl w:val="0"/>
                <w:numId w:val="22"/>
              </w:numPr>
              <w:overflowPunct/>
              <w:autoSpaceDE/>
              <w:autoSpaceDN/>
              <w:adjustRightInd/>
              <w:spacing w:before="0" w:beforeAutospacing="0" w:after="0" w:line="240" w:lineRule="auto"/>
              <w:ind w:left="720" w:firstLineChars="0"/>
              <w:textAlignment w:val="auto"/>
              <w:rPr>
                <w:sz w:val="20"/>
                <w:szCs w:val="20"/>
              </w:rPr>
            </w:pPr>
            <w:r w:rsidRPr="001C60AA">
              <w:rPr>
                <w:sz w:val="20"/>
                <w:szCs w:val="20"/>
              </w:rPr>
              <w:t>Option 1: [1 SMTC or] 2 SMTCs not in parallel</w:t>
            </w:r>
          </w:p>
          <w:p w14:paraId="4FA8AFCF" w14:textId="77777777" w:rsidR="001C60AA" w:rsidRPr="001C60AA" w:rsidRDefault="001C60AA" w:rsidP="001C60AA">
            <w:pPr>
              <w:pStyle w:val="ListParagraph"/>
              <w:widowControl/>
              <w:numPr>
                <w:ilvl w:val="0"/>
                <w:numId w:val="22"/>
              </w:numPr>
              <w:overflowPunct/>
              <w:autoSpaceDE/>
              <w:autoSpaceDN/>
              <w:adjustRightInd/>
              <w:spacing w:before="0" w:beforeAutospacing="0" w:after="0" w:line="240" w:lineRule="auto"/>
              <w:ind w:left="720" w:firstLineChars="0"/>
              <w:textAlignment w:val="auto"/>
              <w:rPr>
                <w:sz w:val="20"/>
                <w:szCs w:val="20"/>
              </w:rPr>
            </w:pPr>
            <w:r w:rsidRPr="001C60AA">
              <w:rPr>
                <w:sz w:val="20"/>
                <w:szCs w:val="20"/>
              </w:rPr>
              <w:t>Option 2: 2 parallel SMTCs</w:t>
            </w:r>
          </w:p>
          <w:p w14:paraId="6C891D21" w14:textId="536A73F4" w:rsidR="00C07E73" w:rsidRPr="00C07E73" w:rsidRDefault="001C60AA" w:rsidP="001C60AA">
            <w:pPr>
              <w:pStyle w:val="ListParagraph"/>
              <w:widowControl/>
              <w:numPr>
                <w:ilvl w:val="1"/>
                <w:numId w:val="22"/>
              </w:numPr>
              <w:overflowPunct/>
              <w:autoSpaceDE/>
              <w:autoSpaceDN/>
              <w:adjustRightInd/>
              <w:spacing w:before="0" w:beforeAutospacing="0" w:after="0" w:line="240" w:lineRule="auto"/>
              <w:ind w:firstLineChars="0"/>
              <w:textAlignment w:val="auto"/>
            </w:pPr>
            <w:r w:rsidRPr="001C60AA">
              <w:rPr>
                <w:sz w:val="20"/>
                <w:szCs w:val="20"/>
              </w:rPr>
              <w:t>‘Parallel’ means the SMTCs are TDM with proximity distance.</w:t>
            </w:r>
          </w:p>
        </w:tc>
      </w:tr>
    </w:tbl>
    <w:p w14:paraId="14A2D947" w14:textId="318381A5" w:rsidR="001C60AA" w:rsidRDefault="001C60AA" w:rsidP="00DD5C9C">
      <w:pPr>
        <w:jc w:val="both"/>
      </w:pPr>
      <w:r>
        <w:t xml:space="preserve"> In legacy R17 UE FG definition, the </w:t>
      </w:r>
      <w:proofErr w:type="spellStart"/>
      <w:r>
        <w:t>parallelSMTC</w:t>
      </w:r>
      <w:proofErr w:type="spellEnd"/>
      <w:r>
        <w:t xml:space="preserve"> is defined as,</w:t>
      </w: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663"/>
        <w:gridCol w:w="1673"/>
        <w:gridCol w:w="1673"/>
        <w:gridCol w:w="1668"/>
        <w:gridCol w:w="1719"/>
      </w:tblGrid>
      <w:tr w:rsidR="001C60AA" w:rsidRPr="001C60AA" w14:paraId="1D2D6F10" w14:textId="02183BB9" w:rsidTr="001C60AA">
        <w:tc>
          <w:tcPr>
            <w:tcW w:w="1679" w:type="dxa"/>
            <w:tcBorders>
              <w:top w:val="single" w:sz="4" w:space="0" w:color="auto"/>
              <w:left w:val="single" w:sz="4" w:space="0" w:color="auto"/>
              <w:bottom w:val="single" w:sz="4" w:space="0" w:color="auto"/>
              <w:right w:val="single" w:sz="4" w:space="0" w:color="auto"/>
            </w:tcBorders>
            <w:hideMark/>
          </w:tcPr>
          <w:p w14:paraId="5798CCF3" w14:textId="77777777" w:rsidR="001C60AA" w:rsidRPr="001C60AA" w:rsidRDefault="001C60AA" w:rsidP="001C60AA">
            <w:pPr>
              <w:pStyle w:val="TAH"/>
              <w:spacing w:after="0"/>
              <w:rPr>
                <w:sz w:val="16"/>
                <w:szCs w:val="16"/>
              </w:rPr>
            </w:pPr>
            <w:r w:rsidRPr="001C60AA">
              <w:rPr>
                <w:sz w:val="16"/>
                <w:szCs w:val="16"/>
              </w:rPr>
              <w:t>Features</w:t>
            </w:r>
          </w:p>
        </w:tc>
        <w:tc>
          <w:tcPr>
            <w:tcW w:w="1679" w:type="dxa"/>
            <w:tcBorders>
              <w:top w:val="single" w:sz="4" w:space="0" w:color="auto"/>
              <w:left w:val="single" w:sz="4" w:space="0" w:color="auto"/>
              <w:bottom w:val="single" w:sz="4" w:space="0" w:color="auto"/>
              <w:right w:val="single" w:sz="4" w:space="0" w:color="auto"/>
            </w:tcBorders>
            <w:hideMark/>
          </w:tcPr>
          <w:p w14:paraId="1BFB6D02" w14:textId="77777777" w:rsidR="001C60AA" w:rsidRPr="001C60AA" w:rsidRDefault="001C60AA" w:rsidP="001C60AA">
            <w:pPr>
              <w:pStyle w:val="TAH"/>
              <w:spacing w:after="0"/>
              <w:rPr>
                <w:sz w:val="16"/>
                <w:szCs w:val="16"/>
              </w:rPr>
            </w:pPr>
            <w:r w:rsidRPr="001C60AA">
              <w:rPr>
                <w:sz w:val="16"/>
                <w:szCs w:val="16"/>
              </w:rPr>
              <w:t>Index</w:t>
            </w:r>
          </w:p>
        </w:tc>
        <w:tc>
          <w:tcPr>
            <w:tcW w:w="1679" w:type="dxa"/>
            <w:tcBorders>
              <w:top w:val="single" w:sz="4" w:space="0" w:color="auto"/>
              <w:left w:val="single" w:sz="4" w:space="0" w:color="auto"/>
              <w:bottom w:val="single" w:sz="4" w:space="0" w:color="auto"/>
              <w:right w:val="single" w:sz="4" w:space="0" w:color="auto"/>
            </w:tcBorders>
            <w:hideMark/>
          </w:tcPr>
          <w:p w14:paraId="17919A54" w14:textId="77777777" w:rsidR="001C60AA" w:rsidRPr="001C60AA" w:rsidRDefault="001C60AA" w:rsidP="001C60AA">
            <w:pPr>
              <w:pStyle w:val="TAH"/>
              <w:spacing w:after="0"/>
              <w:rPr>
                <w:sz w:val="16"/>
                <w:szCs w:val="16"/>
              </w:rPr>
            </w:pPr>
            <w:r w:rsidRPr="001C60AA">
              <w:rPr>
                <w:sz w:val="16"/>
                <w:szCs w:val="16"/>
              </w:rPr>
              <w:t>Feature group</w:t>
            </w:r>
          </w:p>
        </w:tc>
        <w:tc>
          <w:tcPr>
            <w:tcW w:w="1679" w:type="dxa"/>
            <w:tcBorders>
              <w:top w:val="single" w:sz="4" w:space="0" w:color="auto"/>
              <w:left w:val="single" w:sz="4" w:space="0" w:color="auto"/>
              <w:bottom w:val="single" w:sz="4" w:space="0" w:color="auto"/>
              <w:right w:val="single" w:sz="4" w:space="0" w:color="auto"/>
            </w:tcBorders>
            <w:hideMark/>
          </w:tcPr>
          <w:p w14:paraId="47DA4F9F" w14:textId="77777777" w:rsidR="001C60AA" w:rsidRPr="001C60AA" w:rsidRDefault="001C60AA" w:rsidP="001C60AA">
            <w:pPr>
              <w:pStyle w:val="TAH"/>
              <w:spacing w:after="0"/>
              <w:rPr>
                <w:sz w:val="16"/>
                <w:szCs w:val="16"/>
              </w:rPr>
            </w:pPr>
            <w:r w:rsidRPr="001C60AA">
              <w:rPr>
                <w:sz w:val="16"/>
                <w:szCs w:val="16"/>
              </w:rPr>
              <w:t>Components</w:t>
            </w:r>
          </w:p>
        </w:tc>
        <w:tc>
          <w:tcPr>
            <w:tcW w:w="1679" w:type="dxa"/>
            <w:tcBorders>
              <w:top w:val="single" w:sz="4" w:space="0" w:color="auto"/>
              <w:left w:val="single" w:sz="4" w:space="0" w:color="auto"/>
              <w:bottom w:val="single" w:sz="4" w:space="0" w:color="auto"/>
              <w:right w:val="single" w:sz="4" w:space="0" w:color="auto"/>
            </w:tcBorders>
          </w:tcPr>
          <w:p w14:paraId="76B7D623" w14:textId="171AA957" w:rsidR="001C60AA" w:rsidRPr="001C60AA" w:rsidRDefault="001C60AA" w:rsidP="001C60AA">
            <w:pPr>
              <w:pStyle w:val="TAH"/>
              <w:spacing w:after="0"/>
              <w:rPr>
                <w:sz w:val="16"/>
                <w:szCs w:val="16"/>
              </w:rPr>
            </w:pPr>
            <w:r w:rsidRPr="001C60AA">
              <w:rPr>
                <w:sz w:val="16"/>
                <w:szCs w:val="16"/>
              </w:rPr>
              <w:t>Note</w:t>
            </w:r>
          </w:p>
        </w:tc>
        <w:tc>
          <w:tcPr>
            <w:tcW w:w="1679" w:type="dxa"/>
            <w:tcBorders>
              <w:top w:val="single" w:sz="4" w:space="0" w:color="auto"/>
              <w:left w:val="single" w:sz="4" w:space="0" w:color="auto"/>
              <w:bottom w:val="single" w:sz="4" w:space="0" w:color="auto"/>
              <w:right w:val="single" w:sz="4" w:space="0" w:color="auto"/>
            </w:tcBorders>
          </w:tcPr>
          <w:p w14:paraId="059EE3D3" w14:textId="74DF308A" w:rsidR="001C60AA" w:rsidRPr="001C60AA" w:rsidRDefault="001C60AA" w:rsidP="001C60AA">
            <w:pPr>
              <w:pStyle w:val="TAH"/>
              <w:spacing w:after="0"/>
              <w:rPr>
                <w:sz w:val="16"/>
                <w:szCs w:val="16"/>
              </w:rPr>
            </w:pPr>
            <w:r w:rsidRPr="001C60AA">
              <w:rPr>
                <w:sz w:val="16"/>
                <w:szCs w:val="16"/>
              </w:rPr>
              <w:t>Mandatory/Optional</w:t>
            </w:r>
          </w:p>
        </w:tc>
      </w:tr>
      <w:tr w:rsidR="001C60AA" w:rsidRPr="001C60AA" w14:paraId="0B16CC64" w14:textId="3B96B74C" w:rsidTr="001C60AA">
        <w:tc>
          <w:tcPr>
            <w:tcW w:w="1679" w:type="dxa"/>
            <w:tcBorders>
              <w:top w:val="single" w:sz="4" w:space="0" w:color="auto"/>
              <w:left w:val="single" w:sz="4" w:space="0" w:color="auto"/>
              <w:bottom w:val="single" w:sz="4" w:space="0" w:color="auto"/>
              <w:right w:val="single" w:sz="4" w:space="0" w:color="auto"/>
            </w:tcBorders>
            <w:hideMark/>
          </w:tcPr>
          <w:p w14:paraId="730A8CA8" w14:textId="77777777" w:rsidR="001C60AA" w:rsidRPr="001C60AA" w:rsidRDefault="001C60AA" w:rsidP="001C60AA">
            <w:pPr>
              <w:pStyle w:val="TAL"/>
              <w:spacing w:after="0"/>
              <w:rPr>
                <w:sz w:val="16"/>
                <w:szCs w:val="16"/>
              </w:rPr>
            </w:pPr>
            <w:r w:rsidRPr="001C60AA">
              <w:rPr>
                <w:sz w:val="16"/>
                <w:szCs w:val="16"/>
              </w:rPr>
              <w:t xml:space="preserve">25. </w:t>
            </w:r>
            <w:proofErr w:type="spellStart"/>
            <w:r w:rsidRPr="001C60AA">
              <w:rPr>
                <w:sz w:val="16"/>
                <w:szCs w:val="16"/>
              </w:rPr>
              <w:t>NR_NTN_solutions</w:t>
            </w:r>
            <w:proofErr w:type="spellEnd"/>
          </w:p>
        </w:tc>
        <w:tc>
          <w:tcPr>
            <w:tcW w:w="1679" w:type="dxa"/>
            <w:tcBorders>
              <w:top w:val="single" w:sz="4" w:space="0" w:color="auto"/>
              <w:left w:val="nil"/>
              <w:bottom w:val="single" w:sz="4" w:space="0" w:color="auto"/>
              <w:right w:val="single" w:sz="4" w:space="0" w:color="auto"/>
            </w:tcBorders>
            <w:hideMark/>
          </w:tcPr>
          <w:p w14:paraId="76C2ECAF" w14:textId="77777777" w:rsidR="001C60AA" w:rsidRPr="001C60AA" w:rsidRDefault="001C60AA" w:rsidP="001C60AA">
            <w:pPr>
              <w:pStyle w:val="TAL"/>
              <w:spacing w:after="0"/>
              <w:rPr>
                <w:sz w:val="16"/>
                <w:szCs w:val="16"/>
              </w:rPr>
            </w:pPr>
            <w:r w:rsidRPr="001C60AA">
              <w:rPr>
                <w:sz w:val="16"/>
                <w:szCs w:val="16"/>
              </w:rPr>
              <w:t>25-1</w:t>
            </w:r>
          </w:p>
        </w:tc>
        <w:tc>
          <w:tcPr>
            <w:tcW w:w="1679" w:type="dxa"/>
            <w:tcBorders>
              <w:top w:val="single" w:sz="4" w:space="0" w:color="auto"/>
              <w:left w:val="nil"/>
              <w:bottom w:val="single" w:sz="4" w:space="0" w:color="auto"/>
              <w:right w:val="single" w:sz="4" w:space="0" w:color="auto"/>
            </w:tcBorders>
            <w:hideMark/>
          </w:tcPr>
          <w:p w14:paraId="2EFEE5BE" w14:textId="77777777" w:rsidR="001C60AA" w:rsidRPr="001C60AA" w:rsidRDefault="001C60AA" w:rsidP="001C60AA">
            <w:pPr>
              <w:pStyle w:val="TAL"/>
              <w:spacing w:after="0"/>
              <w:rPr>
                <w:sz w:val="16"/>
                <w:szCs w:val="16"/>
              </w:rPr>
            </w:pPr>
            <w:r w:rsidRPr="001C60AA">
              <w:rPr>
                <w:sz w:val="16"/>
                <w:szCs w:val="16"/>
              </w:rPr>
              <w:t>Parallel measurements on multiple SMTC-s for a single frequency carrier</w:t>
            </w:r>
          </w:p>
        </w:tc>
        <w:tc>
          <w:tcPr>
            <w:tcW w:w="1679" w:type="dxa"/>
            <w:tcBorders>
              <w:top w:val="single" w:sz="4" w:space="0" w:color="auto"/>
              <w:left w:val="nil"/>
              <w:bottom w:val="single" w:sz="4" w:space="0" w:color="auto"/>
              <w:right w:val="single" w:sz="4" w:space="0" w:color="auto"/>
            </w:tcBorders>
            <w:hideMark/>
          </w:tcPr>
          <w:p w14:paraId="03C080B8" w14:textId="77777777" w:rsidR="001C60AA" w:rsidRPr="001C60AA" w:rsidRDefault="001C60AA" w:rsidP="001C60AA">
            <w:pPr>
              <w:pStyle w:val="TAL"/>
              <w:spacing w:after="0"/>
              <w:rPr>
                <w:sz w:val="16"/>
                <w:szCs w:val="16"/>
              </w:rPr>
            </w:pPr>
            <w:r w:rsidRPr="001C60AA">
              <w:rPr>
                <w:sz w:val="16"/>
                <w:szCs w:val="16"/>
              </w:rPr>
              <w:t>Support of measurements on target cells belonging to 4 SMTC-s on a single frequency carrier</w:t>
            </w:r>
          </w:p>
        </w:tc>
        <w:tc>
          <w:tcPr>
            <w:tcW w:w="1679" w:type="dxa"/>
            <w:tcBorders>
              <w:top w:val="single" w:sz="4" w:space="0" w:color="auto"/>
              <w:left w:val="nil"/>
              <w:bottom w:val="single" w:sz="4" w:space="0" w:color="auto"/>
              <w:right w:val="single" w:sz="4" w:space="0" w:color="auto"/>
            </w:tcBorders>
          </w:tcPr>
          <w:p w14:paraId="2002A771" w14:textId="31561858" w:rsidR="001C60AA" w:rsidRPr="001C60AA" w:rsidRDefault="001C60AA" w:rsidP="001C60AA">
            <w:pPr>
              <w:pStyle w:val="TAL"/>
              <w:spacing w:after="0"/>
              <w:rPr>
                <w:sz w:val="16"/>
                <w:szCs w:val="16"/>
              </w:rPr>
            </w:pPr>
            <w:r w:rsidRPr="001C60AA">
              <w:rPr>
                <w:sz w:val="16"/>
                <w:szCs w:val="16"/>
                <w:highlight w:val="yellow"/>
              </w:rPr>
              <w:t>UE is mandatory to support 2 and can optionally support 4 if the feature is supported</w:t>
            </w:r>
          </w:p>
        </w:tc>
        <w:tc>
          <w:tcPr>
            <w:tcW w:w="1679" w:type="dxa"/>
            <w:tcBorders>
              <w:top w:val="single" w:sz="4" w:space="0" w:color="auto"/>
              <w:left w:val="nil"/>
              <w:bottom w:val="single" w:sz="4" w:space="0" w:color="auto"/>
              <w:right w:val="single" w:sz="4" w:space="0" w:color="auto"/>
            </w:tcBorders>
          </w:tcPr>
          <w:p w14:paraId="20DE62CF" w14:textId="4EF0A556" w:rsidR="001C60AA" w:rsidRPr="001C60AA" w:rsidRDefault="001C60AA" w:rsidP="001C60AA">
            <w:pPr>
              <w:pStyle w:val="TAL"/>
              <w:spacing w:after="0"/>
              <w:rPr>
                <w:sz w:val="16"/>
                <w:szCs w:val="16"/>
              </w:rPr>
            </w:pPr>
            <w:r w:rsidRPr="001C60AA">
              <w:rPr>
                <w:sz w:val="16"/>
                <w:szCs w:val="16"/>
              </w:rPr>
              <w:t>Optional with capability signaling</w:t>
            </w:r>
          </w:p>
        </w:tc>
      </w:tr>
    </w:tbl>
    <w:p w14:paraId="4079C1D4" w14:textId="7F03E98F" w:rsidR="001C60AA" w:rsidRDefault="002301F2" w:rsidP="002301F2">
      <w:pPr>
        <w:jc w:val="both"/>
      </w:pPr>
      <w:r>
        <w:t xml:space="preserve">And the TS38.306 has defined that NTN UE shall at least support NTN SSB based RRM measurements on target cells belonging to 2 SMTC-s on a single frequency carrier, as following. </w:t>
      </w:r>
    </w:p>
    <w:p w14:paraId="3FC0CDE7" w14:textId="388B1686" w:rsidR="001C60AA" w:rsidRDefault="002301F2" w:rsidP="00DD5C9C">
      <w:pPr>
        <w:jc w:val="both"/>
      </w:pPr>
      <w:r>
        <w:rPr>
          <w:noProof/>
        </w:rPr>
        <w:lastRenderedPageBreak/>
        <w:drawing>
          <wp:inline distT="0" distB="0" distL="0" distR="0" wp14:anchorId="4AEBEB18" wp14:editId="0C85CE59">
            <wp:extent cx="6248400" cy="889000"/>
            <wp:effectExtent l="0" t="0" r="0" b="0"/>
            <wp:docPr id="2206809" name="Picture 1"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6809" name="Picture 1" descr="A close-up of a sig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248400" cy="889000"/>
                    </a:xfrm>
                    <a:prstGeom prst="rect">
                      <a:avLst/>
                    </a:prstGeom>
                  </pic:spPr>
                </pic:pic>
              </a:graphicData>
            </a:graphic>
          </wp:inline>
        </w:drawing>
      </w:r>
    </w:p>
    <w:p w14:paraId="505D5165" w14:textId="32B79483" w:rsidR="00C07E73" w:rsidRDefault="002301F2" w:rsidP="00DD5C9C">
      <w:pPr>
        <w:jc w:val="both"/>
      </w:pPr>
      <w:r>
        <w:t xml:space="preserve">In our view, the limitation on </w:t>
      </w:r>
      <w:proofErr w:type="spellStart"/>
      <w:r>
        <w:t>RedCap</w:t>
      </w:r>
      <w:proofErr w:type="spellEnd"/>
      <w:r>
        <w:t xml:space="preserve"> UE is only about the processing capability (e.g., as defined in proximity distance) rather than whether 2 SMTCs baseline can be supported or not. On the other hand, </w:t>
      </w:r>
      <w:proofErr w:type="gramStart"/>
      <w:r>
        <w:t>in order to</w:t>
      </w:r>
      <w:proofErr w:type="gramEnd"/>
      <w:r>
        <w:t xml:space="preserve"> support LEO deployment, 2 SMTC configuration will be a very practical case. If option 1 is used but network is not aware of when UE is performing measurement on SMTC1 or SMTC2, it might cause unnecessary scheduling restriction for certain cases (e.g., UE does not support </w:t>
      </w:r>
      <w:r w:rsidRPr="002301F2">
        <w:rPr>
          <w:i/>
          <w:iCs/>
        </w:rPr>
        <w:t>parallelMeasurementWithoutRestriction-r17</w:t>
      </w:r>
      <w:r>
        <w:t>). Thus, we prefer option 2 to have same definition of the UE capability between non-</w:t>
      </w:r>
      <w:proofErr w:type="spellStart"/>
      <w:r>
        <w:t>RedCap</w:t>
      </w:r>
      <w:proofErr w:type="spellEnd"/>
      <w:r>
        <w:t xml:space="preserve"> UE and (e)</w:t>
      </w:r>
      <w:proofErr w:type="spellStart"/>
      <w:r>
        <w:t>RedCap</w:t>
      </w:r>
      <w:proofErr w:type="spellEnd"/>
      <w:r>
        <w:t xml:space="preserve"> UE in NTN.</w:t>
      </w:r>
    </w:p>
    <w:p w14:paraId="571B5F87" w14:textId="502C9C4D" w:rsidR="004733AB" w:rsidRDefault="00883206" w:rsidP="002301F2">
      <w:pPr>
        <w:jc w:val="both"/>
        <w:rPr>
          <w:b/>
          <w:bCs/>
          <w:i/>
          <w:iCs/>
        </w:rPr>
      </w:pPr>
      <w:r w:rsidRPr="00883206">
        <w:rPr>
          <w:b/>
          <w:bCs/>
          <w:i/>
          <w:iCs/>
        </w:rPr>
        <w:t xml:space="preserve">Proposal </w:t>
      </w:r>
      <w:r w:rsidR="002301F2">
        <w:rPr>
          <w:b/>
          <w:bCs/>
          <w:i/>
          <w:iCs/>
        </w:rPr>
        <w:t>1</w:t>
      </w:r>
      <w:r w:rsidRPr="00883206">
        <w:rPr>
          <w:b/>
          <w:bCs/>
          <w:i/>
          <w:iCs/>
        </w:rPr>
        <w:t xml:space="preserve">: </w:t>
      </w:r>
      <w:r w:rsidR="002301F2">
        <w:rPr>
          <w:b/>
          <w:bCs/>
          <w:i/>
          <w:iCs/>
        </w:rPr>
        <w:t xml:space="preserve">for </w:t>
      </w:r>
      <w:r w:rsidR="002301F2" w:rsidRPr="002301F2">
        <w:rPr>
          <w:b/>
          <w:bCs/>
          <w:i/>
          <w:iCs/>
        </w:rPr>
        <w:t>Feature 25-1(</w:t>
      </w:r>
      <w:proofErr w:type="spellStart"/>
      <w:r w:rsidR="002301F2" w:rsidRPr="002301F2">
        <w:rPr>
          <w:b/>
          <w:bCs/>
          <w:i/>
          <w:iCs/>
        </w:rPr>
        <w:t>parallelSMTC</w:t>
      </w:r>
      <w:proofErr w:type="spellEnd"/>
      <w:r w:rsidR="002301F2" w:rsidRPr="002301F2">
        <w:rPr>
          <w:b/>
          <w:bCs/>
          <w:i/>
          <w:iCs/>
        </w:rPr>
        <w:t>)</w:t>
      </w:r>
      <w:r w:rsidR="002301F2">
        <w:rPr>
          <w:b/>
          <w:bCs/>
          <w:i/>
          <w:iCs/>
        </w:rPr>
        <w:t>, i</w:t>
      </w:r>
      <w:r w:rsidR="002301F2" w:rsidRPr="002301F2">
        <w:rPr>
          <w:b/>
          <w:bCs/>
          <w:i/>
          <w:iCs/>
        </w:rPr>
        <w:t xml:space="preserve">f not differentiate 1Rx and 2Rx </w:t>
      </w:r>
      <w:proofErr w:type="spellStart"/>
      <w:r w:rsidR="002301F2" w:rsidRPr="002301F2">
        <w:rPr>
          <w:b/>
          <w:bCs/>
          <w:i/>
          <w:iCs/>
        </w:rPr>
        <w:t>RedCap</w:t>
      </w:r>
      <w:proofErr w:type="spellEnd"/>
      <w:r w:rsidR="002301F2" w:rsidRPr="002301F2">
        <w:rPr>
          <w:b/>
          <w:bCs/>
          <w:i/>
          <w:iCs/>
        </w:rPr>
        <w:t xml:space="preserve"> UEs, the baseline for UE capability is</w:t>
      </w:r>
      <w:r w:rsidR="002301F2">
        <w:rPr>
          <w:b/>
          <w:bCs/>
          <w:i/>
          <w:iCs/>
        </w:rPr>
        <w:t xml:space="preserve"> to measure </w:t>
      </w:r>
      <w:r w:rsidR="002301F2" w:rsidRPr="002301F2">
        <w:rPr>
          <w:b/>
          <w:bCs/>
          <w:i/>
          <w:iCs/>
        </w:rPr>
        <w:t>2 parallel SMTCs</w:t>
      </w:r>
      <w:r w:rsidR="002301F2">
        <w:rPr>
          <w:b/>
          <w:bCs/>
          <w:i/>
          <w:iCs/>
        </w:rPr>
        <w:t xml:space="preserve"> in a same SMTC periodicity. </w:t>
      </w:r>
      <w:r w:rsidR="002301F2" w:rsidRPr="002301F2">
        <w:rPr>
          <w:b/>
          <w:bCs/>
          <w:i/>
          <w:iCs/>
        </w:rPr>
        <w:t>‘Parallel’ means the SMTCs are TDM with proximity distance</w:t>
      </w:r>
      <w:r w:rsidR="002301F2">
        <w:rPr>
          <w:b/>
          <w:bCs/>
          <w:i/>
          <w:iCs/>
        </w:rPr>
        <w:t>.</w:t>
      </w:r>
    </w:p>
    <w:p w14:paraId="0903FBB9" w14:textId="01F94809" w:rsidR="004733AB" w:rsidRPr="004733AB" w:rsidRDefault="004733AB" w:rsidP="004733AB">
      <w:pPr>
        <w:rPr>
          <w:b/>
          <w:bCs/>
          <w:u w:val="single"/>
          <w:lang w:eastAsia="ko-KR"/>
        </w:rPr>
      </w:pPr>
      <w:r w:rsidRPr="004733AB">
        <w:rPr>
          <w:b/>
          <w:bCs/>
          <w:u w:val="single"/>
          <w:lang w:eastAsia="ko-KR"/>
        </w:rPr>
        <w:t>Issue 1-2-</w:t>
      </w:r>
      <w:r w:rsidRPr="004733AB">
        <w:rPr>
          <w:rFonts w:hint="eastAsia"/>
          <w:b/>
          <w:bCs/>
          <w:u w:val="single"/>
          <w:lang w:eastAsia="ko-KR"/>
        </w:rPr>
        <w:t>3-1a</w:t>
      </w:r>
      <w:r w:rsidRPr="004733AB">
        <w:rPr>
          <w:b/>
          <w:bCs/>
          <w:u w:val="single"/>
          <w:lang w:eastAsia="ko-KR"/>
        </w:rPr>
        <w:t xml:space="preserve">: </w:t>
      </w:r>
      <w:r w:rsidRPr="004733AB">
        <w:rPr>
          <w:rFonts w:hint="eastAsia"/>
          <w:b/>
          <w:bCs/>
          <w:u w:val="single"/>
          <w:lang w:eastAsia="ko-KR"/>
        </w:rPr>
        <w:t>T</w:t>
      </w:r>
      <w:r w:rsidRPr="004733AB">
        <w:rPr>
          <w:b/>
          <w:bCs/>
          <w:u w:val="single"/>
          <w:lang w:eastAsia="ko-KR"/>
        </w:rPr>
        <w:t>he proximity distance between two SMTCs</w:t>
      </w:r>
    </w:p>
    <w:p w14:paraId="3267D5EC" w14:textId="69E81F41" w:rsidR="00883206" w:rsidRDefault="00883206" w:rsidP="00DD5C9C">
      <w:pPr>
        <w:jc w:val="both"/>
      </w:pPr>
      <w:r>
        <w:t>With the multiple SMTC configured on the same carrier, in legacy NTN requirement, RAN4 defined the proximity</w:t>
      </w:r>
      <w:r>
        <w:rPr>
          <w:rFonts w:hint="eastAsia"/>
        </w:rPr>
        <w:t xml:space="preserve"> </w:t>
      </w:r>
      <w:r>
        <w:t xml:space="preserve">for the SMTCs as following, </w:t>
      </w:r>
    </w:p>
    <w:tbl>
      <w:tblPr>
        <w:tblStyle w:val="TableGrid"/>
        <w:tblW w:w="0" w:type="auto"/>
        <w:tblLook w:val="04A0" w:firstRow="1" w:lastRow="0" w:firstColumn="1" w:lastColumn="0" w:noHBand="0" w:noVBand="1"/>
      </w:tblPr>
      <w:tblGrid>
        <w:gridCol w:w="9962"/>
      </w:tblGrid>
      <w:tr w:rsidR="00883206" w14:paraId="543BDE1E" w14:textId="77777777" w:rsidTr="00883206">
        <w:tc>
          <w:tcPr>
            <w:tcW w:w="9962" w:type="dxa"/>
          </w:tcPr>
          <w:p w14:paraId="0AFA57C8" w14:textId="77777777" w:rsidR="00883206" w:rsidRPr="00883206" w:rsidRDefault="00883206" w:rsidP="00883206">
            <w:pPr>
              <w:jc w:val="both"/>
              <w:rPr>
                <w:b/>
                <w:bCs/>
              </w:rPr>
            </w:pPr>
            <w:r w:rsidRPr="00883206">
              <w:rPr>
                <w:b/>
                <w:bCs/>
              </w:rPr>
              <w:t>9.1C.9.3 Collision between multiple SMTCs on a SAN carrier</w:t>
            </w:r>
          </w:p>
          <w:p w14:paraId="41065359" w14:textId="77777777" w:rsidR="00883206" w:rsidRPr="00883206" w:rsidRDefault="00883206" w:rsidP="00883206">
            <w:pPr>
              <w:jc w:val="both"/>
            </w:pPr>
            <w:r w:rsidRPr="00883206">
              <w:t>Collision between occasions of multiple SMTCs may occur as specified in this clause.</w:t>
            </w:r>
          </w:p>
          <w:p w14:paraId="2AB84B72" w14:textId="77777777" w:rsidR="00883206" w:rsidRPr="00883206" w:rsidRDefault="00883206" w:rsidP="00883206">
            <w:pPr>
              <w:jc w:val="both"/>
            </w:pPr>
            <w:r w:rsidRPr="00883206">
              <w:t>When UE is configured with more than one SMTC on a SAN carrier, two SMTC occasions outside measurement gap are considered colliding if at least one of the following conditions is met:</w:t>
            </w:r>
          </w:p>
          <w:p w14:paraId="7B3328EE" w14:textId="77777777" w:rsidR="00883206" w:rsidRPr="00883206" w:rsidRDefault="00883206" w:rsidP="00883206">
            <w:pPr>
              <w:jc w:val="both"/>
            </w:pPr>
            <w:r w:rsidRPr="00883206">
              <w:t>- the two SMTC occasions are fully or partially overlapping in time domain, or</w:t>
            </w:r>
          </w:p>
          <w:p w14:paraId="74B62E77" w14:textId="77777777" w:rsidR="00883206" w:rsidRPr="00883206" w:rsidRDefault="00883206" w:rsidP="00883206">
            <w:pPr>
              <w:jc w:val="both"/>
            </w:pPr>
            <w:r w:rsidRPr="00883206">
              <w:t xml:space="preserve">- the magnitude of the distance between two SMTC occasions in time domain is less than or equals to </w:t>
            </w:r>
            <w:r w:rsidRPr="00883206">
              <w:rPr>
                <w:color w:val="FF0000"/>
                <w:highlight w:val="yellow"/>
              </w:rPr>
              <w:t xml:space="preserve">4 </w:t>
            </w:r>
            <w:proofErr w:type="spellStart"/>
            <w:r w:rsidRPr="00883206">
              <w:rPr>
                <w:color w:val="FF0000"/>
                <w:highlight w:val="yellow"/>
              </w:rPr>
              <w:t>ms</w:t>
            </w:r>
            <w:r w:rsidRPr="00883206">
              <w:t>.</w:t>
            </w:r>
            <w:proofErr w:type="spellEnd"/>
          </w:p>
          <w:p w14:paraId="7FF424FC" w14:textId="6F0CB9AC" w:rsidR="00883206" w:rsidRDefault="00883206" w:rsidP="00883206">
            <w:pPr>
              <w:jc w:val="both"/>
            </w:pPr>
            <w:r w:rsidRPr="00883206">
              <w:t>The distance between two SMTC occasions is defined as the time difference between the ending point of the earlier SMTC occasion and the starting point of the later SMTC occasion.</w:t>
            </w:r>
          </w:p>
        </w:tc>
      </w:tr>
    </w:tbl>
    <w:p w14:paraId="6470408D" w14:textId="1D17A4D0" w:rsidR="00883206" w:rsidRDefault="000237A5" w:rsidP="000237A5">
      <w:pPr>
        <w:jc w:val="center"/>
      </w:pPr>
      <w:r w:rsidRPr="000237A5">
        <w:rPr>
          <w:noProof/>
        </w:rPr>
        <w:drawing>
          <wp:inline distT="0" distB="0" distL="0" distR="0" wp14:anchorId="2F1A7B82" wp14:editId="74218BFF">
            <wp:extent cx="4705032" cy="945536"/>
            <wp:effectExtent l="0" t="0" r="0" b="0"/>
            <wp:docPr id="1589858603" name="Picture 1" descr="A red squar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858603" name="Picture 1" descr="A red square on a black background&#10;&#10;Description automatically generated"/>
                    <pic:cNvPicPr/>
                  </pic:nvPicPr>
                  <pic:blipFill>
                    <a:blip r:embed="rId9"/>
                    <a:stretch>
                      <a:fillRect/>
                    </a:stretch>
                  </pic:blipFill>
                  <pic:spPr>
                    <a:xfrm>
                      <a:off x="0" y="0"/>
                      <a:ext cx="4760045" cy="956592"/>
                    </a:xfrm>
                    <a:prstGeom prst="rect">
                      <a:avLst/>
                    </a:prstGeom>
                  </pic:spPr>
                </pic:pic>
              </a:graphicData>
            </a:graphic>
          </wp:inline>
        </w:drawing>
      </w:r>
    </w:p>
    <w:p w14:paraId="6CADBB4D" w14:textId="1065ACBA" w:rsidR="00883206" w:rsidRDefault="000237A5" w:rsidP="000237A5">
      <w:pPr>
        <w:jc w:val="both"/>
      </w:pPr>
      <w:r w:rsidRPr="000237A5">
        <w:t>The proximity distance between the SMTCs reflects the UE capability of how fast it can complete the post-processing for the data buffered from prior SMTC</w:t>
      </w:r>
      <w:r>
        <w:t xml:space="preserve">. </w:t>
      </w:r>
      <w:r w:rsidRPr="000237A5">
        <w:t xml:space="preserve">If </w:t>
      </w:r>
      <w:r>
        <w:t>network</w:t>
      </w:r>
      <w:r w:rsidRPr="000237A5">
        <w:t xml:space="preserve"> configures 2 SMTCs on </w:t>
      </w:r>
      <w:proofErr w:type="gramStart"/>
      <w:r w:rsidRPr="000237A5">
        <w:t>a</w:t>
      </w:r>
      <w:proofErr w:type="gramEnd"/>
      <w:r w:rsidRPr="000237A5">
        <w:t xml:space="preserve"> NTN carriers and the proximity distance between these two SMTCs are less than 4ms, UE is required to </w:t>
      </w:r>
      <w:r w:rsidRPr="000237A5">
        <w:lastRenderedPageBreak/>
        <w:t xml:space="preserve">measurement only one of them in </w:t>
      </w:r>
      <w:r>
        <w:t xml:space="preserve">legacy </w:t>
      </w:r>
      <w:r w:rsidRPr="000237A5">
        <w:t>NTN.</w:t>
      </w:r>
      <w:r>
        <w:t xml:space="preserve"> </w:t>
      </w:r>
      <w:r w:rsidRPr="000237A5">
        <w:t xml:space="preserve">Now, considering the </w:t>
      </w:r>
      <w:proofErr w:type="spellStart"/>
      <w:r w:rsidRPr="000237A5">
        <w:t>RedCap</w:t>
      </w:r>
      <w:proofErr w:type="spellEnd"/>
      <w:r w:rsidRPr="000237A5">
        <w:t xml:space="preserve"> UE has </w:t>
      </w:r>
      <w:r>
        <w:t>reduced</w:t>
      </w:r>
      <w:r w:rsidRPr="000237A5">
        <w:t xml:space="preserve"> UE processing capability than legacy non-</w:t>
      </w:r>
      <w:proofErr w:type="spellStart"/>
      <w:r w:rsidRPr="000237A5">
        <w:t>RedCap</w:t>
      </w:r>
      <w:proofErr w:type="spellEnd"/>
      <w:r w:rsidRPr="000237A5">
        <w:t xml:space="preserve"> UE, the proximity distance </w:t>
      </w:r>
      <w:r>
        <w:t>might need to</w:t>
      </w:r>
      <w:r w:rsidRPr="000237A5">
        <w:t xml:space="preserve"> be revisited in the spec.</w:t>
      </w:r>
      <w:r>
        <w:t xml:space="preserve"> We think the relaxation for proximity could be considered for (e)</w:t>
      </w:r>
      <w:proofErr w:type="spellStart"/>
      <w:r>
        <w:t>RedCap</w:t>
      </w:r>
      <w:proofErr w:type="spellEnd"/>
      <w:r>
        <w:t xml:space="preserve"> UE in NTN, e.g.,</w:t>
      </w:r>
    </w:p>
    <w:p w14:paraId="23ABB62D" w14:textId="3161214E" w:rsidR="000237A5" w:rsidRPr="000237A5" w:rsidRDefault="000237A5" w:rsidP="000237A5">
      <w:pPr>
        <w:numPr>
          <w:ilvl w:val="2"/>
          <w:numId w:val="93"/>
        </w:numPr>
        <w:jc w:val="both"/>
      </w:pPr>
      <w:r w:rsidRPr="000237A5">
        <w:t xml:space="preserve">When </w:t>
      </w:r>
      <w:r>
        <w:t>(e)</w:t>
      </w:r>
      <w:proofErr w:type="spellStart"/>
      <w:r w:rsidRPr="000237A5">
        <w:t>RedCap</w:t>
      </w:r>
      <w:proofErr w:type="spellEnd"/>
      <w:r w:rsidRPr="000237A5">
        <w:t xml:space="preserve"> UE is configured with more than one SMTC on a SAN carrier, two SMTC occasions outside measurement gap are considered colliding if at least one of the following conditions is met:</w:t>
      </w:r>
    </w:p>
    <w:p w14:paraId="0D78AF12" w14:textId="77777777" w:rsidR="000237A5" w:rsidRPr="000237A5" w:rsidRDefault="000237A5" w:rsidP="000237A5">
      <w:pPr>
        <w:numPr>
          <w:ilvl w:val="3"/>
          <w:numId w:val="94"/>
        </w:numPr>
        <w:jc w:val="both"/>
      </w:pPr>
      <w:r w:rsidRPr="000237A5">
        <w:t>the two SMTC occasions are fully or partially overlapping in time domain, or</w:t>
      </w:r>
    </w:p>
    <w:p w14:paraId="67A54968" w14:textId="17C2CB57" w:rsidR="000237A5" w:rsidRPr="000237A5" w:rsidRDefault="000237A5" w:rsidP="000237A5">
      <w:pPr>
        <w:numPr>
          <w:ilvl w:val="3"/>
          <w:numId w:val="94"/>
        </w:numPr>
        <w:jc w:val="both"/>
      </w:pPr>
      <w:r w:rsidRPr="000237A5">
        <w:t xml:space="preserve">the magnitude of the distance between two SMTC occasions in time domain is less than or equals to (4+x) </w:t>
      </w:r>
      <w:proofErr w:type="spellStart"/>
      <w:r w:rsidRPr="000237A5">
        <w:t>ms.</w:t>
      </w:r>
      <w:proofErr w:type="spellEnd"/>
      <w:r w:rsidRPr="000237A5">
        <w:t xml:space="preserve"> </w:t>
      </w:r>
      <w:r>
        <w:t>(x is the relaxation for (</w:t>
      </w:r>
      <w:proofErr w:type="spellStart"/>
      <w:r>
        <w:t>eRedCap</w:t>
      </w:r>
      <w:proofErr w:type="spellEnd"/>
      <w:r>
        <w:t xml:space="preserve"> UE)). We propose </w:t>
      </w:r>
      <w:r w:rsidR="004733AB">
        <w:t>x=</w:t>
      </w:r>
      <w:r>
        <w:t>1ms.</w:t>
      </w:r>
    </w:p>
    <w:p w14:paraId="79CBBCF2" w14:textId="77777777" w:rsidR="000237A5" w:rsidRDefault="000237A5" w:rsidP="000237A5">
      <w:pPr>
        <w:numPr>
          <w:ilvl w:val="2"/>
          <w:numId w:val="93"/>
        </w:numPr>
        <w:jc w:val="both"/>
      </w:pPr>
      <w:r w:rsidRPr="000237A5">
        <w:t>The distance between two SMTC occasions is defined as the time difference between the ending point of the earlier SMTC occasion and the starting point of the later SMTC occasion.</w:t>
      </w:r>
    </w:p>
    <w:p w14:paraId="30831C42" w14:textId="46CE53FE" w:rsidR="000237A5" w:rsidRDefault="000237A5" w:rsidP="000237A5">
      <w:pPr>
        <w:jc w:val="both"/>
        <w:rPr>
          <w:b/>
          <w:bCs/>
          <w:i/>
          <w:iCs/>
        </w:rPr>
      </w:pPr>
      <w:r w:rsidRPr="000237A5">
        <w:rPr>
          <w:b/>
          <w:bCs/>
          <w:i/>
          <w:iCs/>
        </w:rPr>
        <w:t xml:space="preserve">Proposal </w:t>
      </w:r>
      <w:r w:rsidR="004733AB">
        <w:rPr>
          <w:b/>
          <w:bCs/>
          <w:i/>
          <w:iCs/>
        </w:rPr>
        <w:t>2</w:t>
      </w:r>
      <w:r w:rsidRPr="000237A5">
        <w:rPr>
          <w:b/>
          <w:bCs/>
          <w:i/>
          <w:iCs/>
        </w:rPr>
        <w:t xml:space="preserve">: to consider </w:t>
      </w:r>
      <w:r>
        <w:rPr>
          <w:b/>
          <w:bCs/>
          <w:i/>
          <w:iCs/>
        </w:rPr>
        <w:t xml:space="preserve">relaxation </w:t>
      </w:r>
      <w:r w:rsidRPr="000237A5">
        <w:rPr>
          <w:b/>
          <w:bCs/>
          <w:i/>
          <w:iCs/>
        </w:rPr>
        <w:t xml:space="preserve">for proximity </w:t>
      </w:r>
      <w:r>
        <w:rPr>
          <w:b/>
          <w:bCs/>
          <w:i/>
          <w:iCs/>
        </w:rPr>
        <w:t>w</w:t>
      </w:r>
      <w:r w:rsidRPr="000237A5">
        <w:rPr>
          <w:b/>
          <w:bCs/>
          <w:i/>
          <w:iCs/>
        </w:rPr>
        <w:t>hen (e)</w:t>
      </w:r>
      <w:proofErr w:type="spellStart"/>
      <w:r w:rsidRPr="000237A5">
        <w:rPr>
          <w:b/>
          <w:bCs/>
          <w:i/>
          <w:iCs/>
        </w:rPr>
        <w:t>RedCap</w:t>
      </w:r>
      <w:proofErr w:type="spellEnd"/>
      <w:r w:rsidRPr="000237A5">
        <w:rPr>
          <w:b/>
          <w:bCs/>
          <w:i/>
          <w:iCs/>
        </w:rPr>
        <w:t xml:space="preserve"> UE is configured with more than one SMTC on a SAN carrier</w:t>
      </w:r>
      <w:r w:rsidR="009B6FCF">
        <w:rPr>
          <w:b/>
          <w:bCs/>
          <w:i/>
          <w:iCs/>
        </w:rPr>
        <w:t>, i.e.,</w:t>
      </w:r>
    </w:p>
    <w:p w14:paraId="304040EC" w14:textId="77777777" w:rsidR="009B6FCF" w:rsidRPr="000237A5" w:rsidRDefault="009B6FCF" w:rsidP="008C0212">
      <w:pPr>
        <w:numPr>
          <w:ilvl w:val="2"/>
          <w:numId w:val="93"/>
        </w:numPr>
        <w:ind w:left="284"/>
        <w:jc w:val="both"/>
        <w:rPr>
          <w:b/>
          <w:bCs/>
          <w:i/>
          <w:iCs/>
        </w:rPr>
      </w:pPr>
      <w:r w:rsidRPr="000237A5">
        <w:rPr>
          <w:b/>
          <w:bCs/>
          <w:i/>
          <w:iCs/>
        </w:rPr>
        <w:t xml:space="preserve">When </w:t>
      </w:r>
      <w:r w:rsidRPr="009B6FCF">
        <w:rPr>
          <w:b/>
          <w:bCs/>
          <w:i/>
          <w:iCs/>
        </w:rPr>
        <w:t>(e)</w:t>
      </w:r>
      <w:proofErr w:type="spellStart"/>
      <w:r w:rsidRPr="000237A5">
        <w:rPr>
          <w:b/>
          <w:bCs/>
          <w:i/>
          <w:iCs/>
        </w:rPr>
        <w:t>RedCap</w:t>
      </w:r>
      <w:proofErr w:type="spellEnd"/>
      <w:r w:rsidRPr="000237A5">
        <w:rPr>
          <w:b/>
          <w:bCs/>
          <w:i/>
          <w:iCs/>
        </w:rPr>
        <w:t xml:space="preserve"> UE is configured with more than one SMTC on a SAN carrier, two SMTC occasions outside measurement gap are considered colliding if at least one of the following conditions is met:</w:t>
      </w:r>
    </w:p>
    <w:p w14:paraId="2C07763A" w14:textId="77777777" w:rsidR="009B6FCF" w:rsidRPr="000237A5" w:rsidRDefault="009B6FCF" w:rsidP="008C0212">
      <w:pPr>
        <w:numPr>
          <w:ilvl w:val="3"/>
          <w:numId w:val="94"/>
        </w:numPr>
        <w:ind w:left="644"/>
        <w:jc w:val="both"/>
        <w:rPr>
          <w:b/>
          <w:bCs/>
          <w:i/>
          <w:iCs/>
        </w:rPr>
      </w:pPr>
      <w:r w:rsidRPr="000237A5">
        <w:rPr>
          <w:b/>
          <w:bCs/>
          <w:i/>
          <w:iCs/>
        </w:rPr>
        <w:t>the two SMTC occasions are fully or partially overlapping in time domain, or</w:t>
      </w:r>
    </w:p>
    <w:p w14:paraId="354F5667" w14:textId="2A3856CA" w:rsidR="009B6FCF" w:rsidRPr="000237A5" w:rsidRDefault="009B6FCF" w:rsidP="008C0212">
      <w:pPr>
        <w:numPr>
          <w:ilvl w:val="3"/>
          <w:numId w:val="94"/>
        </w:numPr>
        <w:ind w:left="644"/>
        <w:jc w:val="both"/>
        <w:rPr>
          <w:b/>
          <w:bCs/>
          <w:i/>
          <w:iCs/>
        </w:rPr>
      </w:pPr>
      <w:r w:rsidRPr="000237A5">
        <w:rPr>
          <w:b/>
          <w:bCs/>
          <w:i/>
          <w:iCs/>
        </w:rPr>
        <w:t xml:space="preserve">the magnitude of the distance between two SMTC occasions in time domain is less than or equals to (4+x) </w:t>
      </w:r>
      <w:proofErr w:type="spellStart"/>
      <w:r w:rsidRPr="000237A5">
        <w:rPr>
          <w:b/>
          <w:bCs/>
          <w:i/>
          <w:iCs/>
        </w:rPr>
        <w:t>ms.</w:t>
      </w:r>
      <w:proofErr w:type="spellEnd"/>
      <w:r w:rsidRPr="000237A5">
        <w:rPr>
          <w:b/>
          <w:bCs/>
          <w:i/>
          <w:iCs/>
        </w:rPr>
        <w:t xml:space="preserve"> </w:t>
      </w:r>
      <w:r w:rsidRPr="009B6FCF">
        <w:rPr>
          <w:b/>
          <w:bCs/>
          <w:i/>
          <w:iCs/>
        </w:rPr>
        <w:t>(x is the relaxation for (</w:t>
      </w:r>
      <w:proofErr w:type="spellStart"/>
      <w:r w:rsidRPr="009B6FCF">
        <w:rPr>
          <w:b/>
          <w:bCs/>
          <w:i/>
          <w:iCs/>
        </w:rPr>
        <w:t>eRedCap</w:t>
      </w:r>
      <w:proofErr w:type="spellEnd"/>
      <w:r w:rsidRPr="009B6FCF">
        <w:rPr>
          <w:b/>
          <w:bCs/>
          <w:i/>
          <w:iCs/>
        </w:rPr>
        <w:t xml:space="preserve"> UE)), </w:t>
      </w:r>
      <w:r w:rsidR="004733AB">
        <w:rPr>
          <w:b/>
          <w:bCs/>
          <w:i/>
          <w:iCs/>
        </w:rPr>
        <w:t>x=1ms</w:t>
      </w:r>
      <w:r w:rsidRPr="009B6FCF">
        <w:rPr>
          <w:b/>
          <w:bCs/>
          <w:i/>
          <w:iCs/>
        </w:rPr>
        <w:t>.</w:t>
      </w:r>
    </w:p>
    <w:p w14:paraId="3FB28443" w14:textId="77777777" w:rsidR="009B6FCF" w:rsidRDefault="009B6FCF" w:rsidP="008C0212">
      <w:pPr>
        <w:numPr>
          <w:ilvl w:val="2"/>
          <w:numId w:val="93"/>
        </w:numPr>
        <w:ind w:left="284"/>
        <w:jc w:val="both"/>
        <w:rPr>
          <w:b/>
          <w:bCs/>
          <w:i/>
          <w:iCs/>
        </w:rPr>
      </w:pPr>
      <w:r w:rsidRPr="000237A5">
        <w:rPr>
          <w:b/>
          <w:bCs/>
          <w:i/>
          <w:iCs/>
        </w:rPr>
        <w:t>The distance between two SMTC occasions is defined as the time difference between the ending point of the earlier SMTC occasion and the starting point of the later SMTC occasion.</w:t>
      </w:r>
    </w:p>
    <w:p w14:paraId="57918ADB" w14:textId="77777777" w:rsidR="004733AB" w:rsidRPr="004733AB" w:rsidRDefault="004733AB" w:rsidP="004733AB">
      <w:pPr>
        <w:rPr>
          <w:b/>
          <w:bCs/>
          <w:u w:val="single"/>
          <w:lang w:eastAsia="ko-KR"/>
        </w:rPr>
      </w:pPr>
      <w:r w:rsidRPr="004733AB">
        <w:rPr>
          <w:b/>
          <w:bCs/>
          <w:u w:val="single"/>
          <w:lang w:eastAsia="ko-KR"/>
        </w:rPr>
        <w:t>Issue 1-2-</w:t>
      </w:r>
      <w:r w:rsidRPr="004733AB">
        <w:rPr>
          <w:rFonts w:hint="eastAsia"/>
          <w:b/>
          <w:bCs/>
          <w:u w:val="single"/>
          <w:lang w:eastAsia="ko-KR"/>
        </w:rPr>
        <w:t>3-5</w:t>
      </w:r>
      <w:r w:rsidRPr="004733AB">
        <w:rPr>
          <w:b/>
          <w:bCs/>
          <w:u w:val="single"/>
          <w:lang w:eastAsia="ko-KR"/>
        </w:rPr>
        <w:t>: Feature 25-3(</w:t>
      </w:r>
      <w:proofErr w:type="spellStart"/>
      <w:r w:rsidRPr="004733AB">
        <w:rPr>
          <w:b/>
          <w:bCs/>
          <w:u w:val="single"/>
          <w:lang w:eastAsia="ko-KR"/>
        </w:rPr>
        <w:t>parallelMeasurementGap</w:t>
      </w:r>
      <w:proofErr w:type="spellEnd"/>
      <w:r w:rsidRPr="004733AB">
        <w:rPr>
          <w:b/>
          <w:bCs/>
          <w:u w:val="single"/>
          <w:lang w:eastAsia="ko-KR"/>
        </w:rPr>
        <w:t>)</w:t>
      </w:r>
    </w:p>
    <w:tbl>
      <w:tblPr>
        <w:tblStyle w:val="TableGrid"/>
        <w:tblW w:w="0" w:type="auto"/>
        <w:tblLook w:val="04A0" w:firstRow="1" w:lastRow="0" w:firstColumn="1" w:lastColumn="0" w:noHBand="0" w:noVBand="1"/>
      </w:tblPr>
      <w:tblGrid>
        <w:gridCol w:w="9962"/>
      </w:tblGrid>
      <w:tr w:rsidR="004733AB" w14:paraId="0E60DA90" w14:textId="77777777" w:rsidTr="004733AB">
        <w:tc>
          <w:tcPr>
            <w:tcW w:w="9962" w:type="dxa"/>
          </w:tcPr>
          <w:p w14:paraId="343E0C7F" w14:textId="77777777" w:rsidR="004733AB" w:rsidRPr="004733AB" w:rsidRDefault="004733AB" w:rsidP="004733AB">
            <w:pPr>
              <w:spacing w:before="0" w:beforeAutospacing="0" w:after="0"/>
              <w:rPr>
                <w:b/>
                <w:sz w:val="20"/>
                <w:szCs w:val="20"/>
              </w:rPr>
            </w:pPr>
            <w:r w:rsidRPr="004733AB">
              <w:rPr>
                <w:b/>
                <w:sz w:val="20"/>
                <w:szCs w:val="20"/>
              </w:rPr>
              <w:t>&lt;Way Forward&gt;</w:t>
            </w:r>
            <w:r w:rsidRPr="004733AB">
              <w:rPr>
                <w:rFonts w:hint="eastAsia"/>
                <w:b/>
                <w:sz w:val="20"/>
                <w:szCs w:val="20"/>
              </w:rPr>
              <w:t>:</w:t>
            </w:r>
          </w:p>
          <w:p w14:paraId="4B7222DA" w14:textId="77777777" w:rsidR="004733AB" w:rsidRPr="004733AB" w:rsidRDefault="004733AB" w:rsidP="004733AB">
            <w:pPr>
              <w:pStyle w:val="ListParagraph"/>
              <w:widowControl/>
              <w:numPr>
                <w:ilvl w:val="0"/>
                <w:numId w:val="22"/>
              </w:numPr>
              <w:overflowPunct/>
              <w:autoSpaceDE/>
              <w:autoSpaceDN/>
              <w:adjustRightInd/>
              <w:spacing w:before="0" w:beforeAutospacing="0" w:after="0" w:line="240" w:lineRule="auto"/>
              <w:ind w:left="720" w:firstLineChars="0"/>
              <w:textAlignment w:val="auto"/>
              <w:rPr>
                <w:sz w:val="20"/>
                <w:szCs w:val="20"/>
              </w:rPr>
            </w:pPr>
            <w:r w:rsidRPr="004733AB">
              <w:rPr>
                <w:rFonts w:hint="eastAsia"/>
                <w:sz w:val="20"/>
                <w:szCs w:val="20"/>
              </w:rPr>
              <w:t xml:space="preserve">For whether to </w:t>
            </w:r>
            <w:r w:rsidRPr="004733AB">
              <w:rPr>
                <w:sz w:val="20"/>
                <w:szCs w:val="20"/>
              </w:rPr>
              <w:t>define RRM requirements</w:t>
            </w:r>
            <w:r w:rsidRPr="004733AB">
              <w:rPr>
                <w:rFonts w:hint="eastAsia"/>
                <w:sz w:val="20"/>
                <w:szCs w:val="20"/>
              </w:rPr>
              <w:t xml:space="preserve"> for </w:t>
            </w:r>
            <w:r w:rsidRPr="004733AB">
              <w:rPr>
                <w:rFonts w:hint="eastAsia"/>
                <w:b/>
                <w:sz w:val="20"/>
                <w:szCs w:val="20"/>
              </w:rPr>
              <w:t>Feature 25-3</w:t>
            </w:r>
            <w:r w:rsidRPr="004733AB">
              <w:rPr>
                <w:rFonts w:hint="eastAsia"/>
                <w:i/>
                <w:sz w:val="20"/>
                <w:szCs w:val="20"/>
              </w:rPr>
              <w:t>(</w:t>
            </w:r>
            <w:r w:rsidRPr="004733AB">
              <w:rPr>
                <w:i/>
                <w:sz w:val="20"/>
                <w:szCs w:val="20"/>
              </w:rPr>
              <w:t>parallelMeasurementGap-r17</w:t>
            </w:r>
            <w:r w:rsidRPr="004733AB">
              <w:rPr>
                <w:rFonts w:hint="eastAsia"/>
                <w:i/>
                <w:sz w:val="20"/>
                <w:szCs w:val="20"/>
              </w:rPr>
              <w:t>)</w:t>
            </w:r>
            <w:r w:rsidRPr="004733AB">
              <w:rPr>
                <w:rFonts w:hint="eastAsia"/>
                <w:sz w:val="20"/>
                <w:szCs w:val="20"/>
              </w:rPr>
              <w:t xml:space="preserve"> for (e)</w:t>
            </w:r>
            <w:proofErr w:type="spellStart"/>
            <w:r w:rsidRPr="004733AB">
              <w:rPr>
                <w:rFonts w:hint="eastAsia"/>
                <w:sz w:val="20"/>
                <w:szCs w:val="20"/>
              </w:rPr>
              <w:t>RedCap</w:t>
            </w:r>
            <w:proofErr w:type="spellEnd"/>
            <w:r w:rsidRPr="004733AB">
              <w:rPr>
                <w:rFonts w:hint="eastAsia"/>
                <w:sz w:val="20"/>
                <w:szCs w:val="20"/>
              </w:rPr>
              <w:t xml:space="preserve"> UEs,</w:t>
            </w:r>
          </w:p>
          <w:p w14:paraId="74AFE04E" w14:textId="77777777" w:rsidR="004733AB" w:rsidRPr="004733AB" w:rsidRDefault="004733AB" w:rsidP="004733AB">
            <w:pPr>
              <w:pStyle w:val="ListParagraph"/>
              <w:widowControl/>
              <w:numPr>
                <w:ilvl w:val="1"/>
                <w:numId w:val="22"/>
              </w:numPr>
              <w:overflowPunct/>
              <w:autoSpaceDE/>
              <w:autoSpaceDN/>
              <w:adjustRightInd/>
              <w:spacing w:before="0" w:beforeAutospacing="0" w:after="0" w:line="240" w:lineRule="auto"/>
              <w:ind w:left="1655" w:firstLineChars="0" w:hanging="357"/>
              <w:textAlignment w:val="auto"/>
              <w:rPr>
                <w:sz w:val="20"/>
                <w:szCs w:val="20"/>
              </w:rPr>
            </w:pPr>
            <w:r w:rsidRPr="004733AB">
              <w:rPr>
                <w:sz w:val="20"/>
                <w:szCs w:val="20"/>
              </w:rPr>
              <w:t xml:space="preserve">Proposal </w:t>
            </w:r>
            <w:r w:rsidRPr="004733AB">
              <w:rPr>
                <w:rFonts w:hint="eastAsia"/>
                <w:sz w:val="20"/>
                <w:szCs w:val="20"/>
              </w:rPr>
              <w:t>1</w:t>
            </w:r>
            <w:r w:rsidRPr="004733AB">
              <w:rPr>
                <w:sz w:val="20"/>
                <w:szCs w:val="20"/>
              </w:rPr>
              <w:t>:</w:t>
            </w:r>
            <w:r w:rsidRPr="004733AB">
              <w:rPr>
                <w:rFonts w:hint="eastAsia"/>
                <w:sz w:val="20"/>
                <w:szCs w:val="20"/>
              </w:rPr>
              <w:t xml:space="preserve"> Support to define.</w:t>
            </w:r>
          </w:p>
          <w:p w14:paraId="1A3D0BBF" w14:textId="77777777" w:rsidR="004733AB" w:rsidRPr="004733AB" w:rsidRDefault="004733AB" w:rsidP="004733AB">
            <w:pPr>
              <w:pStyle w:val="ListParagraph"/>
              <w:widowControl/>
              <w:numPr>
                <w:ilvl w:val="2"/>
                <w:numId w:val="22"/>
              </w:numPr>
              <w:overflowPunct/>
              <w:autoSpaceDE/>
              <w:autoSpaceDN/>
              <w:adjustRightInd/>
              <w:snapToGrid w:val="0"/>
              <w:spacing w:before="0" w:beforeAutospacing="0" w:after="0" w:line="240" w:lineRule="auto"/>
              <w:ind w:firstLineChars="0" w:hanging="357"/>
              <w:textAlignment w:val="auto"/>
              <w:rPr>
                <w:sz w:val="20"/>
                <w:szCs w:val="20"/>
              </w:rPr>
            </w:pPr>
            <w:r w:rsidRPr="004733AB">
              <w:rPr>
                <w:sz w:val="20"/>
                <w:szCs w:val="20"/>
              </w:rPr>
              <w:t xml:space="preserve">Proposal </w:t>
            </w:r>
            <w:r w:rsidRPr="004733AB">
              <w:rPr>
                <w:rFonts w:hint="eastAsia"/>
                <w:sz w:val="20"/>
                <w:szCs w:val="20"/>
              </w:rPr>
              <w:t>1</w:t>
            </w:r>
            <w:r w:rsidRPr="004733AB">
              <w:rPr>
                <w:rFonts w:hint="eastAsia"/>
                <w:sz w:val="20"/>
                <w:szCs w:val="20"/>
                <w:lang w:eastAsia="zh-CN"/>
              </w:rPr>
              <w:t>a</w:t>
            </w:r>
            <w:r w:rsidRPr="004733AB">
              <w:rPr>
                <w:sz w:val="20"/>
                <w:szCs w:val="20"/>
              </w:rPr>
              <w:t>:</w:t>
            </w:r>
            <w:r w:rsidRPr="004733AB">
              <w:rPr>
                <w:rFonts w:hint="eastAsia"/>
                <w:sz w:val="20"/>
                <w:szCs w:val="20"/>
              </w:rPr>
              <w:t xml:space="preserve"> T</w:t>
            </w:r>
            <w:r w:rsidRPr="004733AB">
              <w:rPr>
                <w:sz w:val="20"/>
                <w:szCs w:val="20"/>
              </w:rPr>
              <w:t>he UE capabilit</w:t>
            </w:r>
            <w:r w:rsidRPr="004733AB">
              <w:rPr>
                <w:rFonts w:hint="eastAsia"/>
                <w:sz w:val="20"/>
                <w:szCs w:val="20"/>
              </w:rPr>
              <w:t>y</w:t>
            </w:r>
            <w:r w:rsidRPr="004733AB">
              <w:rPr>
                <w:sz w:val="20"/>
                <w:szCs w:val="20"/>
              </w:rPr>
              <w:t xml:space="preserve"> </w:t>
            </w:r>
            <w:r w:rsidRPr="004733AB">
              <w:rPr>
                <w:rFonts w:hint="eastAsia"/>
                <w:sz w:val="20"/>
                <w:szCs w:val="20"/>
              </w:rPr>
              <w:t>is</w:t>
            </w:r>
            <w:r w:rsidRPr="004733AB">
              <w:rPr>
                <w:sz w:val="20"/>
                <w:szCs w:val="20"/>
              </w:rPr>
              <w:t xml:space="preserve"> applicable, and the support of the</w:t>
            </w:r>
            <w:r w:rsidRPr="004733AB">
              <w:rPr>
                <w:b/>
                <w:sz w:val="20"/>
                <w:szCs w:val="20"/>
              </w:rPr>
              <w:t xml:space="preserve"> optional </w:t>
            </w:r>
            <w:r w:rsidRPr="004733AB">
              <w:rPr>
                <w:sz w:val="20"/>
                <w:szCs w:val="20"/>
              </w:rPr>
              <w:t>features is left to UE implementation following the same principle of the existing non-</w:t>
            </w:r>
            <w:proofErr w:type="spellStart"/>
            <w:r w:rsidRPr="004733AB">
              <w:rPr>
                <w:sz w:val="20"/>
                <w:szCs w:val="20"/>
              </w:rPr>
              <w:t>RedCap</w:t>
            </w:r>
            <w:proofErr w:type="spellEnd"/>
            <w:r w:rsidRPr="004733AB">
              <w:rPr>
                <w:sz w:val="20"/>
                <w:szCs w:val="20"/>
              </w:rPr>
              <w:t xml:space="preserve"> requirements.</w:t>
            </w:r>
          </w:p>
          <w:p w14:paraId="4598B4E7" w14:textId="5429FE83" w:rsidR="004733AB" w:rsidRPr="004733AB" w:rsidRDefault="004733AB" w:rsidP="004733AB">
            <w:pPr>
              <w:pStyle w:val="ListParagraph"/>
              <w:widowControl/>
              <w:numPr>
                <w:ilvl w:val="2"/>
                <w:numId w:val="22"/>
              </w:numPr>
              <w:overflowPunct/>
              <w:autoSpaceDE/>
              <w:autoSpaceDN/>
              <w:adjustRightInd/>
              <w:snapToGrid w:val="0"/>
              <w:spacing w:before="0" w:beforeAutospacing="0" w:after="0" w:line="240" w:lineRule="auto"/>
              <w:ind w:firstLineChars="0" w:hanging="357"/>
              <w:textAlignment w:val="auto"/>
            </w:pPr>
            <w:r w:rsidRPr="004733AB">
              <w:rPr>
                <w:rFonts w:hint="eastAsia"/>
                <w:sz w:val="20"/>
                <w:szCs w:val="20"/>
              </w:rPr>
              <w:t xml:space="preserve">Proposal 1b: The capability can be </w:t>
            </w:r>
            <w:r w:rsidRPr="004733AB">
              <w:rPr>
                <w:rFonts w:hint="eastAsia"/>
                <w:b/>
                <w:sz w:val="20"/>
                <w:szCs w:val="20"/>
              </w:rPr>
              <w:t>optionally</w:t>
            </w:r>
            <w:r w:rsidRPr="004733AB">
              <w:rPr>
                <w:rFonts w:hint="eastAsia"/>
                <w:sz w:val="20"/>
                <w:szCs w:val="20"/>
              </w:rPr>
              <w:t xml:space="preserve"> supported by (e)</w:t>
            </w:r>
            <w:proofErr w:type="spellStart"/>
            <w:r w:rsidRPr="004733AB">
              <w:rPr>
                <w:rFonts w:hint="eastAsia"/>
                <w:sz w:val="20"/>
                <w:szCs w:val="20"/>
              </w:rPr>
              <w:t>RedCap</w:t>
            </w:r>
            <w:proofErr w:type="spellEnd"/>
            <w:r w:rsidRPr="004733AB">
              <w:rPr>
                <w:rFonts w:hint="eastAsia"/>
                <w:sz w:val="20"/>
                <w:szCs w:val="20"/>
              </w:rPr>
              <w:t xml:space="preserve"> UEs with </w:t>
            </w:r>
            <w:r w:rsidRPr="004733AB">
              <w:rPr>
                <w:rFonts w:hint="eastAsia"/>
                <w:b/>
                <w:sz w:val="20"/>
                <w:szCs w:val="20"/>
              </w:rPr>
              <w:t>2Rx</w:t>
            </w:r>
            <w:r w:rsidRPr="004733AB">
              <w:rPr>
                <w:rFonts w:hint="eastAsia"/>
                <w:sz w:val="20"/>
                <w:szCs w:val="20"/>
              </w:rPr>
              <w:t xml:space="preserve">, </w:t>
            </w:r>
            <w:proofErr w:type="spellStart"/>
            <w:r w:rsidRPr="004733AB">
              <w:rPr>
                <w:rFonts w:hint="eastAsia"/>
                <w:sz w:val="20"/>
                <w:szCs w:val="20"/>
              </w:rPr>
              <w:t xml:space="preserve">can </w:t>
            </w:r>
            <w:r w:rsidRPr="004733AB">
              <w:rPr>
                <w:rFonts w:hint="eastAsia"/>
                <w:b/>
                <w:sz w:val="20"/>
                <w:szCs w:val="20"/>
              </w:rPr>
              <w:t>not</w:t>
            </w:r>
            <w:proofErr w:type="spellEnd"/>
            <w:r w:rsidRPr="004733AB">
              <w:rPr>
                <w:rFonts w:hint="eastAsia"/>
                <w:sz w:val="20"/>
                <w:szCs w:val="20"/>
              </w:rPr>
              <w:t xml:space="preserve"> be supported by (e)</w:t>
            </w:r>
            <w:proofErr w:type="spellStart"/>
            <w:r w:rsidRPr="004733AB">
              <w:rPr>
                <w:rFonts w:hint="eastAsia"/>
                <w:sz w:val="20"/>
                <w:szCs w:val="20"/>
              </w:rPr>
              <w:t>RedCap</w:t>
            </w:r>
            <w:proofErr w:type="spellEnd"/>
            <w:r w:rsidRPr="004733AB">
              <w:rPr>
                <w:rFonts w:hint="eastAsia"/>
                <w:sz w:val="20"/>
                <w:szCs w:val="20"/>
              </w:rPr>
              <w:t xml:space="preserve"> UEs with </w:t>
            </w:r>
            <w:r w:rsidRPr="004733AB">
              <w:rPr>
                <w:rFonts w:hint="eastAsia"/>
                <w:b/>
                <w:sz w:val="20"/>
                <w:szCs w:val="20"/>
              </w:rPr>
              <w:t>1Rx</w:t>
            </w:r>
            <w:r w:rsidRPr="004733AB">
              <w:rPr>
                <w:rFonts w:hint="eastAsia"/>
                <w:sz w:val="20"/>
                <w:szCs w:val="20"/>
              </w:rPr>
              <w:t>.</w:t>
            </w:r>
            <w:r>
              <w:rPr>
                <w:rFonts w:hint="eastAsia"/>
              </w:rPr>
              <w:t xml:space="preserve"> </w:t>
            </w:r>
          </w:p>
        </w:tc>
      </w:tr>
    </w:tbl>
    <w:p w14:paraId="1A276539" w14:textId="5F16A8F6" w:rsidR="004733AB" w:rsidRDefault="00CB1BC3" w:rsidP="004733AB">
      <w:pPr>
        <w:jc w:val="both"/>
      </w:pPr>
      <w:r>
        <w:t xml:space="preserve">In our view, </w:t>
      </w:r>
      <w:proofErr w:type="gramStart"/>
      <w:r>
        <w:t>as long as</w:t>
      </w:r>
      <w:proofErr w:type="gramEnd"/>
      <w:r>
        <w:t xml:space="preserve"> RAN4 agrees to use this </w:t>
      </w:r>
      <w:proofErr w:type="spellStart"/>
      <w:r w:rsidRPr="00CB1BC3">
        <w:rPr>
          <w:i/>
          <w:iCs/>
        </w:rPr>
        <w:t>parallelMeasurementGap</w:t>
      </w:r>
      <w:proofErr w:type="spellEnd"/>
      <w:r>
        <w:t xml:space="preserve"> for (e)</w:t>
      </w:r>
      <w:proofErr w:type="spellStart"/>
      <w:r>
        <w:t>RedCap</w:t>
      </w:r>
      <w:proofErr w:type="spellEnd"/>
      <w:r>
        <w:t xml:space="preserve"> UE, we don’t think it’s necessary to differentiate this capability applicability for 2Rx or 1Rx cases. Rx number is related with the different antenna implementation for (e)</w:t>
      </w:r>
      <w:proofErr w:type="spellStart"/>
      <w:r>
        <w:t>RedCap</w:t>
      </w:r>
      <w:proofErr w:type="spellEnd"/>
      <w:r>
        <w:t xml:space="preserve"> UE and from RRM perspective it would impact on the measurement accuracy and delay, however, it shall not be a justification for UE to differentiate capability of </w:t>
      </w:r>
      <w:proofErr w:type="spellStart"/>
      <w:r w:rsidRPr="00CB1BC3">
        <w:rPr>
          <w:i/>
          <w:iCs/>
        </w:rPr>
        <w:t>parallelMeasurementGap</w:t>
      </w:r>
      <w:proofErr w:type="spellEnd"/>
      <w:r>
        <w:t xml:space="preserve">. </w:t>
      </w:r>
      <w:proofErr w:type="spellStart"/>
      <w:r w:rsidRPr="00CB1BC3">
        <w:rPr>
          <w:i/>
          <w:iCs/>
        </w:rPr>
        <w:t>parallelMeasurementGap</w:t>
      </w:r>
      <w:proofErr w:type="spellEnd"/>
      <w:r>
        <w:t xml:space="preserve"> does not mean UE needs to measure both MGs </w:t>
      </w:r>
      <w:r w:rsidR="008C0212">
        <w:t>simultaneously; but</w:t>
      </w:r>
      <w:r>
        <w:t xml:space="preserve"> </w:t>
      </w:r>
      <w:r w:rsidR="008C0212">
        <w:t xml:space="preserve">it </w:t>
      </w:r>
      <w:r>
        <w:t>only indicate</w:t>
      </w:r>
      <w:r w:rsidR="008C0212">
        <w:t>s</w:t>
      </w:r>
      <w:r>
        <w:t xml:space="preserve"> that UE can support such configuration with 2MGs inside one MGRP.</w:t>
      </w:r>
      <w:r w:rsidR="008C0212">
        <w:t xml:space="preserve"> Thus, we propose to </w:t>
      </w:r>
      <w:r w:rsidR="008C0212" w:rsidRPr="008C0212">
        <w:t>adopt proposal 1a.</w:t>
      </w:r>
      <w:r w:rsidR="008C0212">
        <w:t xml:space="preserve"> </w:t>
      </w:r>
    </w:p>
    <w:p w14:paraId="325DDE39" w14:textId="41DE54D1" w:rsidR="004733AB" w:rsidRPr="008C0212" w:rsidRDefault="008C0212" w:rsidP="004733AB">
      <w:pPr>
        <w:jc w:val="both"/>
        <w:rPr>
          <w:b/>
          <w:bCs/>
          <w:i/>
          <w:iCs/>
        </w:rPr>
      </w:pPr>
      <w:r w:rsidRPr="000237A5">
        <w:rPr>
          <w:b/>
          <w:bCs/>
          <w:i/>
          <w:iCs/>
        </w:rPr>
        <w:lastRenderedPageBreak/>
        <w:t xml:space="preserve">Proposal </w:t>
      </w:r>
      <w:r>
        <w:rPr>
          <w:b/>
          <w:bCs/>
          <w:i/>
          <w:iCs/>
        </w:rPr>
        <w:t>3</w:t>
      </w:r>
      <w:r w:rsidRPr="000237A5">
        <w:rPr>
          <w:b/>
          <w:bCs/>
          <w:i/>
          <w:iCs/>
        </w:rPr>
        <w:t xml:space="preserve">: </w:t>
      </w:r>
      <w:r>
        <w:rPr>
          <w:b/>
          <w:bCs/>
          <w:i/>
          <w:iCs/>
        </w:rPr>
        <w:t xml:space="preserve">RAN4 </w:t>
      </w:r>
      <w:r w:rsidRPr="008C0212">
        <w:rPr>
          <w:b/>
          <w:bCs/>
          <w:i/>
          <w:iCs/>
        </w:rPr>
        <w:t>to define RRM requirements for Feature 25-3(parallelMeasurementGap-r17) for (e)</w:t>
      </w:r>
      <w:proofErr w:type="spellStart"/>
      <w:r w:rsidRPr="008C0212">
        <w:rPr>
          <w:b/>
          <w:bCs/>
          <w:i/>
          <w:iCs/>
        </w:rPr>
        <w:t>RedCap</w:t>
      </w:r>
      <w:proofErr w:type="spellEnd"/>
      <w:r w:rsidRPr="008C0212">
        <w:rPr>
          <w:b/>
          <w:bCs/>
          <w:i/>
          <w:iCs/>
        </w:rPr>
        <w:t xml:space="preserve"> UEs, and the support of the optional features is left to UE implementation following the same principle of the existing non-</w:t>
      </w:r>
      <w:proofErr w:type="spellStart"/>
      <w:r w:rsidRPr="008C0212">
        <w:rPr>
          <w:b/>
          <w:bCs/>
          <w:i/>
          <w:iCs/>
        </w:rPr>
        <w:t>RedCa</w:t>
      </w:r>
      <w:r>
        <w:rPr>
          <w:b/>
          <w:bCs/>
          <w:i/>
          <w:iCs/>
        </w:rPr>
        <w:t>p</w:t>
      </w:r>
      <w:proofErr w:type="spellEnd"/>
      <w:r>
        <w:rPr>
          <w:b/>
          <w:bCs/>
          <w:i/>
          <w:iCs/>
        </w:rPr>
        <w:t xml:space="preserve">. This capability </w:t>
      </w:r>
      <w:r w:rsidRPr="008C0212">
        <w:rPr>
          <w:b/>
          <w:bCs/>
          <w:i/>
          <w:iCs/>
        </w:rPr>
        <w:t>supported by (e)</w:t>
      </w:r>
      <w:proofErr w:type="spellStart"/>
      <w:r w:rsidRPr="008C0212">
        <w:rPr>
          <w:b/>
          <w:bCs/>
          <w:i/>
          <w:iCs/>
        </w:rPr>
        <w:t>RedCap</w:t>
      </w:r>
      <w:proofErr w:type="spellEnd"/>
      <w:r w:rsidRPr="008C0212">
        <w:rPr>
          <w:b/>
          <w:bCs/>
          <w:i/>
          <w:iCs/>
        </w:rPr>
        <w:t xml:space="preserve"> UEs </w:t>
      </w:r>
      <w:r>
        <w:rPr>
          <w:b/>
          <w:bCs/>
          <w:i/>
          <w:iCs/>
        </w:rPr>
        <w:t>is not differentiated between 2Rx and 1Rx.</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77777777" w:rsidR="000A52A0" w:rsidRDefault="000A52A0" w:rsidP="000A52A0">
      <w:pPr>
        <w:spacing w:after="120"/>
        <w:jc w:val="both"/>
      </w:pPr>
      <w:r>
        <w:t xml:space="preserve">In this contribution, we discuss the RRM requirement scope for WI of </w:t>
      </w:r>
      <w:r w:rsidRPr="00E01145">
        <w:t>Non-Terrestrial Networks (NTN) for NR Phase 3</w:t>
      </w:r>
      <w:r>
        <w:t>.</w:t>
      </w:r>
    </w:p>
    <w:p w14:paraId="08BF9B33" w14:textId="77777777" w:rsidR="008C0212" w:rsidRDefault="008C0212" w:rsidP="008C0212">
      <w:pPr>
        <w:jc w:val="both"/>
        <w:rPr>
          <w:b/>
          <w:bCs/>
          <w:i/>
          <w:iCs/>
        </w:rPr>
      </w:pPr>
      <w:r w:rsidRPr="00883206">
        <w:rPr>
          <w:b/>
          <w:bCs/>
          <w:i/>
          <w:iCs/>
        </w:rPr>
        <w:t xml:space="preserve">Proposal </w:t>
      </w:r>
      <w:r>
        <w:rPr>
          <w:b/>
          <w:bCs/>
          <w:i/>
          <w:iCs/>
        </w:rPr>
        <w:t>1</w:t>
      </w:r>
      <w:r w:rsidRPr="00883206">
        <w:rPr>
          <w:b/>
          <w:bCs/>
          <w:i/>
          <w:iCs/>
        </w:rPr>
        <w:t xml:space="preserve">: </w:t>
      </w:r>
      <w:r>
        <w:rPr>
          <w:b/>
          <w:bCs/>
          <w:i/>
          <w:iCs/>
        </w:rPr>
        <w:t xml:space="preserve">for </w:t>
      </w:r>
      <w:r w:rsidRPr="002301F2">
        <w:rPr>
          <w:b/>
          <w:bCs/>
          <w:i/>
          <w:iCs/>
        </w:rPr>
        <w:t>Feature 25-1(</w:t>
      </w:r>
      <w:proofErr w:type="spellStart"/>
      <w:r w:rsidRPr="002301F2">
        <w:rPr>
          <w:b/>
          <w:bCs/>
          <w:i/>
          <w:iCs/>
        </w:rPr>
        <w:t>parallelSMTC</w:t>
      </w:r>
      <w:proofErr w:type="spellEnd"/>
      <w:r w:rsidRPr="002301F2">
        <w:rPr>
          <w:b/>
          <w:bCs/>
          <w:i/>
          <w:iCs/>
        </w:rPr>
        <w:t>)</w:t>
      </w:r>
      <w:r>
        <w:rPr>
          <w:b/>
          <w:bCs/>
          <w:i/>
          <w:iCs/>
        </w:rPr>
        <w:t>, i</w:t>
      </w:r>
      <w:r w:rsidRPr="002301F2">
        <w:rPr>
          <w:b/>
          <w:bCs/>
          <w:i/>
          <w:iCs/>
        </w:rPr>
        <w:t xml:space="preserve">f not differentiate 1Rx and 2Rx </w:t>
      </w:r>
      <w:proofErr w:type="spellStart"/>
      <w:r w:rsidRPr="002301F2">
        <w:rPr>
          <w:b/>
          <w:bCs/>
          <w:i/>
          <w:iCs/>
        </w:rPr>
        <w:t>RedCap</w:t>
      </w:r>
      <w:proofErr w:type="spellEnd"/>
      <w:r w:rsidRPr="002301F2">
        <w:rPr>
          <w:b/>
          <w:bCs/>
          <w:i/>
          <w:iCs/>
        </w:rPr>
        <w:t xml:space="preserve"> UEs, the baseline for UE capability is</w:t>
      </w:r>
      <w:r>
        <w:rPr>
          <w:b/>
          <w:bCs/>
          <w:i/>
          <w:iCs/>
        </w:rPr>
        <w:t xml:space="preserve"> to measure </w:t>
      </w:r>
      <w:r w:rsidRPr="002301F2">
        <w:rPr>
          <w:b/>
          <w:bCs/>
          <w:i/>
          <w:iCs/>
        </w:rPr>
        <w:t>2 parallel SMTCs</w:t>
      </w:r>
      <w:r>
        <w:rPr>
          <w:b/>
          <w:bCs/>
          <w:i/>
          <w:iCs/>
        </w:rPr>
        <w:t xml:space="preserve"> in a same SMTC periodicity. </w:t>
      </w:r>
      <w:r w:rsidRPr="002301F2">
        <w:rPr>
          <w:b/>
          <w:bCs/>
          <w:i/>
          <w:iCs/>
        </w:rPr>
        <w:t>‘Parallel’ means the SMTCs are TDM with proximity distance</w:t>
      </w:r>
      <w:r>
        <w:rPr>
          <w:b/>
          <w:bCs/>
          <w:i/>
          <w:iCs/>
        </w:rPr>
        <w:t>.</w:t>
      </w:r>
    </w:p>
    <w:p w14:paraId="269253A7" w14:textId="70338A47" w:rsidR="008C0212" w:rsidRDefault="008C0212" w:rsidP="008C0212">
      <w:pPr>
        <w:jc w:val="both"/>
        <w:rPr>
          <w:b/>
          <w:bCs/>
          <w:i/>
          <w:iCs/>
        </w:rPr>
      </w:pPr>
      <w:r w:rsidRPr="000237A5">
        <w:rPr>
          <w:b/>
          <w:bCs/>
          <w:i/>
          <w:iCs/>
        </w:rPr>
        <w:t xml:space="preserve">Proposal </w:t>
      </w:r>
      <w:r>
        <w:rPr>
          <w:b/>
          <w:bCs/>
          <w:i/>
          <w:iCs/>
        </w:rPr>
        <w:t>2</w:t>
      </w:r>
      <w:r w:rsidRPr="000237A5">
        <w:rPr>
          <w:b/>
          <w:bCs/>
          <w:i/>
          <w:iCs/>
        </w:rPr>
        <w:t xml:space="preserve">: to consider </w:t>
      </w:r>
      <w:r>
        <w:rPr>
          <w:b/>
          <w:bCs/>
          <w:i/>
          <w:iCs/>
        </w:rPr>
        <w:t xml:space="preserve">relaxation </w:t>
      </w:r>
      <w:r w:rsidRPr="000237A5">
        <w:rPr>
          <w:b/>
          <w:bCs/>
          <w:i/>
          <w:iCs/>
        </w:rPr>
        <w:t xml:space="preserve">for proximity </w:t>
      </w:r>
      <w:r>
        <w:rPr>
          <w:b/>
          <w:bCs/>
          <w:i/>
          <w:iCs/>
        </w:rPr>
        <w:t>w</w:t>
      </w:r>
      <w:r w:rsidRPr="000237A5">
        <w:rPr>
          <w:b/>
          <w:bCs/>
          <w:i/>
          <w:iCs/>
        </w:rPr>
        <w:t>hen (e)</w:t>
      </w:r>
      <w:proofErr w:type="spellStart"/>
      <w:r w:rsidRPr="000237A5">
        <w:rPr>
          <w:b/>
          <w:bCs/>
          <w:i/>
          <w:iCs/>
        </w:rPr>
        <w:t>RedCap</w:t>
      </w:r>
      <w:proofErr w:type="spellEnd"/>
      <w:r w:rsidRPr="000237A5">
        <w:rPr>
          <w:b/>
          <w:bCs/>
          <w:i/>
          <w:iCs/>
        </w:rPr>
        <w:t xml:space="preserve"> UE is configured with more than one SMTC on a SAN carrier</w:t>
      </w:r>
      <w:r>
        <w:rPr>
          <w:b/>
          <w:bCs/>
          <w:i/>
          <w:iCs/>
        </w:rPr>
        <w:t>, i.e.,</w:t>
      </w:r>
    </w:p>
    <w:p w14:paraId="56A006AF" w14:textId="77777777" w:rsidR="008C0212" w:rsidRPr="000237A5" w:rsidRDefault="008C0212" w:rsidP="008C0212">
      <w:pPr>
        <w:numPr>
          <w:ilvl w:val="2"/>
          <w:numId w:val="93"/>
        </w:numPr>
        <w:ind w:left="284"/>
        <w:jc w:val="both"/>
        <w:rPr>
          <w:b/>
          <w:bCs/>
          <w:i/>
          <w:iCs/>
        </w:rPr>
      </w:pPr>
      <w:r w:rsidRPr="000237A5">
        <w:rPr>
          <w:b/>
          <w:bCs/>
          <w:i/>
          <w:iCs/>
        </w:rPr>
        <w:t xml:space="preserve">When </w:t>
      </w:r>
      <w:r w:rsidRPr="009B6FCF">
        <w:rPr>
          <w:b/>
          <w:bCs/>
          <w:i/>
          <w:iCs/>
        </w:rPr>
        <w:t>(e)</w:t>
      </w:r>
      <w:proofErr w:type="spellStart"/>
      <w:r w:rsidRPr="000237A5">
        <w:rPr>
          <w:b/>
          <w:bCs/>
          <w:i/>
          <w:iCs/>
        </w:rPr>
        <w:t>RedCap</w:t>
      </w:r>
      <w:proofErr w:type="spellEnd"/>
      <w:r w:rsidRPr="000237A5">
        <w:rPr>
          <w:b/>
          <w:bCs/>
          <w:i/>
          <w:iCs/>
        </w:rPr>
        <w:t xml:space="preserve"> UE is configured with more than one SMTC on a SAN carrier, two SMTC occasions outside measurement gap are considered colliding if at least one of the following conditions is met:</w:t>
      </w:r>
    </w:p>
    <w:p w14:paraId="542D3952" w14:textId="77777777" w:rsidR="008C0212" w:rsidRPr="000237A5" w:rsidRDefault="008C0212" w:rsidP="008C0212">
      <w:pPr>
        <w:numPr>
          <w:ilvl w:val="3"/>
          <w:numId w:val="94"/>
        </w:numPr>
        <w:ind w:left="644"/>
        <w:jc w:val="both"/>
        <w:rPr>
          <w:b/>
          <w:bCs/>
          <w:i/>
          <w:iCs/>
        </w:rPr>
      </w:pPr>
      <w:r w:rsidRPr="000237A5">
        <w:rPr>
          <w:b/>
          <w:bCs/>
          <w:i/>
          <w:iCs/>
        </w:rPr>
        <w:t>the two SMTC occasions are fully or partially overlapping in time domain, or</w:t>
      </w:r>
    </w:p>
    <w:p w14:paraId="65FCDF25" w14:textId="77777777" w:rsidR="008C0212" w:rsidRPr="000237A5" w:rsidRDefault="008C0212" w:rsidP="008C0212">
      <w:pPr>
        <w:numPr>
          <w:ilvl w:val="3"/>
          <w:numId w:val="94"/>
        </w:numPr>
        <w:ind w:left="644"/>
        <w:jc w:val="both"/>
        <w:rPr>
          <w:b/>
          <w:bCs/>
          <w:i/>
          <w:iCs/>
        </w:rPr>
      </w:pPr>
      <w:r w:rsidRPr="000237A5">
        <w:rPr>
          <w:b/>
          <w:bCs/>
          <w:i/>
          <w:iCs/>
        </w:rPr>
        <w:t xml:space="preserve">the magnitude of the distance between two SMTC occasions in time domain is less than or equals to (4+x) </w:t>
      </w:r>
      <w:proofErr w:type="spellStart"/>
      <w:r w:rsidRPr="000237A5">
        <w:rPr>
          <w:b/>
          <w:bCs/>
          <w:i/>
          <w:iCs/>
        </w:rPr>
        <w:t>ms.</w:t>
      </w:r>
      <w:proofErr w:type="spellEnd"/>
      <w:r w:rsidRPr="000237A5">
        <w:rPr>
          <w:b/>
          <w:bCs/>
          <w:i/>
          <w:iCs/>
        </w:rPr>
        <w:t xml:space="preserve"> </w:t>
      </w:r>
      <w:r w:rsidRPr="009B6FCF">
        <w:rPr>
          <w:b/>
          <w:bCs/>
          <w:i/>
          <w:iCs/>
        </w:rPr>
        <w:t>(x is the relaxation for (</w:t>
      </w:r>
      <w:proofErr w:type="spellStart"/>
      <w:r w:rsidRPr="009B6FCF">
        <w:rPr>
          <w:b/>
          <w:bCs/>
          <w:i/>
          <w:iCs/>
        </w:rPr>
        <w:t>eRedCap</w:t>
      </w:r>
      <w:proofErr w:type="spellEnd"/>
      <w:r w:rsidRPr="009B6FCF">
        <w:rPr>
          <w:b/>
          <w:bCs/>
          <w:i/>
          <w:iCs/>
        </w:rPr>
        <w:t xml:space="preserve"> UE)), </w:t>
      </w:r>
      <w:r>
        <w:rPr>
          <w:b/>
          <w:bCs/>
          <w:i/>
          <w:iCs/>
        </w:rPr>
        <w:t>x=1ms</w:t>
      </w:r>
      <w:r w:rsidRPr="009B6FCF">
        <w:rPr>
          <w:b/>
          <w:bCs/>
          <w:i/>
          <w:iCs/>
        </w:rPr>
        <w:t>.</w:t>
      </w:r>
    </w:p>
    <w:p w14:paraId="31097EE9" w14:textId="77777777" w:rsidR="008C0212" w:rsidRDefault="008C0212" w:rsidP="008C0212">
      <w:pPr>
        <w:numPr>
          <w:ilvl w:val="2"/>
          <w:numId w:val="93"/>
        </w:numPr>
        <w:ind w:left="284"/>
        <w:jc w:val="both"/>
        <w:rPr>
          <w:b/>
          <w:bCs/>
          <w:i/>
          <w:iCs/>
        </w:rPr>
      </w:pPr>
      <w:r w:rsidRPr="000237A5">
        <w:rPr>
          <w:b/>
          <w:bCs/>
          <w:i/>
          <w:iCs/>
        </w:rPr>
        <w:t>The distance between two SMTC occasions is defined as the time difference between the ending point of the earlier SMTC occasion and the starting point of the later SMTC occasion.</w:t>
      </w:r>
    </w:p>
    <w:p w14:paraId="1997995D" w14:textId="26B8E312" w:rsidR="009B6FCF" w:rsidRPr="009B6FCF" w:rsidRDefault="008C0212" w:rsidP="008C0212">
      <w:pPr>
        <w:jc w:val="both"/>
        <w:rPr>
          <w:b/>
          <w:bCs/>
          <w:i/>
          <w:iCs/>
        </w:rPr>
      </w:pPr>
      <w:r w:rsidRPr="000237A5">
        <w:rPr>
          <w:b/>
          <w:bCs/>
          <w:i/>
          <w:iCs/>
        </w:rPr>
        <w:t xml:space="preserve">Proposal </w:t>
      </w:r>
      <w:r>
        <w:rPr>
          <w:b/>
          <w:bCs/>
          <w:i/>
          <w:iCs/>
        </w:rPr>
        <w:t>3</w:t>
      </w:r>
      <w:r w:rsidRPr="000237A5">
        <w:rPr>
          <w:b/>
          <w:bCs/>
          <w:i/>
          <w:iCs/>
        </w:rPr>
        <w:t xml:space="preserve">: </w:t>
      </w:r>
      <w:r>
        <w:rPr>
          <w:b/>
          <w:bCs/>
          <w:i/>
          <w:iCs/>
        </w:rPr>
        <w:t xml:space="preserve">RAN4 </w:t>
      </w:r>
      <w:r w:rsidRPr="008C0212">
        <w:rPr>
          <w:b/>
          <w:bCs/>
          <w:i/>
          <w:iCs/>
        </w:rPr>
        <w:t>to define RRM requirements for Feature 25-3(parallelMeasurementGap-r17) for (e)</w:t>
      </w:r>
      <w:proofErr w:type="spellStart"/>
      <w:r w:rsidRPr="008C0212">
        <w:rPr>
          <w:b/>
          <w:bCs/>
          <w:i/>
          <w:iCs/>
        </w:rPr>
        <w:t>RedCap</w:t>
      </w:r>
      <w:proofErr w:type="spellEnd"/>
      <w:r w:rsidRPr="008C0212">
        <w:rPr>
          <w:b/>
          <w:bCs/>
          <w:i/>
          <w:iCs/>
        </w:rPr>
        <w:t xml:space="preserve"> UEs, and the support of the optional features is left to UE implementation following the same principle of the existing non-</w:t>
      </w:r>
      <w:proofErr w:type="spellStart"/>
      <w:r w:rsidRPr="008C0212">
        <w:rPr>
          <w:b/>
          <w:bCs/>
          <w:i/>
          <w:iCs/>
        </w:rPr>
        <w:t>RedCa</w:t>
      </w:r>
      <w:r>
        <w:rPr>
          <w:b/>
          <w:bCs/>
          <w:i/>
          <w:iCs/>
        </w:rPr>
        <w:t>p</w:t>
      </w:r>
      <w:proofErr w:type="spellEnd"/>
      <w:r>
        <w:rPr>
          <w:b/>
          <w:bCs/>
          <w:i/>
          <w:iCs/>
        </w:rPr>
        <w:t xml:space="preserve">. This capability </w:t>
      </w:r>
      <w:r w:rsidRPr="008C0212">
        <w:rPr>
          <w:b/>
          <w:bCs/>
          <w:i/>
          <w:iCs/>
        </w:rPr>
        <w:t>supported by (e)</w:t>
      </w:r>
      <w:proofErr w:type="spellStart"/>
      <w:r w:rsidRPr="008C0212">
        <w:rPr>
          <w:b/>
          <w:bCs/>
          <w:i/>
          <w:iCs/>
        </w:rPr>
        <w:t>RedCap</w:t>
      </w:r>
      <w:proofErr w:type="spellEnd"/>
      <w:r w:rsidRPr="008C0212">
        <w:rPr>
          <w:b/>
          <w:bCs/>
          <w:i/>
          <w:iCs/>
        </w:rPr>
        <w:t xml:space="preserve"> UEs </w:t>
      </w:r>
      <w:r>
        <w:rPr>
          <w:b/>
          <w:bCs/>
          <w:i/>
          <w:iCs/>
        </w:rPr>
        <w:t>is not differentiated between 2Rx and 1Rx.</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7174CAE5" w:rsidR="006D098E" w:rsidRDefault="00DB5D18" w:rsidP="0051713E">
      <w:r>
        <w:t xml:space="preserve">[1] </w:t>
      </w:r>
      <w:r w:rsidR="001C60AA">
        <w:rPr>
          <w:lang w:eastAsia="en-US"/>
        </w:rPr>
        <w:t>R4-2502604, WF on RRM requirements for NR_NTN_Ph3_Part1, CATT, RAN4#114</w:t>
      </w:r>
    </w:p>
    <w:p w14:paraId="44E6AB8A" w14:textId="663B908B" w:rsidR="00CD3CF7" w:rsidRDefault="00CD3CF7" w:rsidP="00CD3CF7">
      <w:r>
        <w:t xml:space="preserve">[2] </w:t>
      </w:r>
      <w:r w:rsidR="001C60AA" w:rsidRPr="001C60AA">
        <w:rPr>
          <w:rFonts w:cs="Arial"/>
        </w:rPr>
        <w:t>R4-2500543</w:t>
      </w:r>
      <w:r w:rsidR="001C60AA">
        <w:rPr>
          <w:rFonts w:cs="Arial"/>
        </w:rPr>
        <w:t xml:space="preserve">, </w:t>
      </w:r>
      <w:r w:rsidR="001C60AA" w:rsidRPr="001C60AA">
        <w:rPr>
          <w:rFonts w:cs="Arial"/>
        </w:rPr>
        <w:t>Topic summary for [114][229] NR_NTN_Ph3_Part1</w:t>
      </w:r>
      <w:r w:rsidRPr="00CB4CB5">
        <w:t>, CATT</w:t>
      </w:r>
      <w:r w:rsidRPr="003302A0">
        <w:t>, RAN</w:t>
      </w:r>
      <w:r>
        <w:t>4#11</w:t>
      </w:r>
      <w:r w:rsidR="001C60AA">
        <w:t>4</w:t>
      </w:r>
    </w:p>
    <w:p w14:paraId="3B9813FF" w14:textId="4F2369B6" w:rsidR="00A23D5B" w:rsidRDefault="009862F3" w:rsidP="0051713E">
      <w:r>
        <w:t xml:space="preserve"> </w:t>
      </w:r>
    </w:p>
    <w:sectPr w:rsidR="00A23D5B" w:rsidSect="00F209DF">
      <w:headerReference w:type="even" r:id="rId10"/>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A1E9C" w14:textId="77777777" w:rsidR="002618CB" w:rsidRDefault="002618CB">
      <w:r>
        <w:separator/>
      </w:r>
    </w:p>
  </w:endnote>
  <w:endnote w:type="continuationSeparator" w:id="0">
    <w:p w14:paraId="4C63D1E9" w14:textId="77777777" w:rsidR="002618CB" w:rsidRDefault="002618CB">
      <w:r>
        <w:continuationSeparator/>
      </w:r>
    </w:p>
  </w:endnote>
  <w:endnote w:type="continuationNotice" w:id="1">
    <w:p w14:paraId="2FCFF61B" w14:textId="77777777" w:rsidR="002618CB" w:rsidRDefault="002618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9ACF3" w14:textId="77777777" w:rsidR="002618CB" w:rsidRDefault="002618CB">
      <w:r>
        <w:separator/>
      </w:r>
    </w:p>
  </w:footnote>
  <w:footnote w:type="continuationSeparator" w:id="0">
    <w:p w14:paraId="48D80D77" w14:textId="77777777" w:rsidR="002618CB" w:rsidRDefault="002618CB">
      <w:r>
        <w:continuationSeparator/>
      </w:r>
    </w:p>
  </w:footnote>
  <w:footnote w:type="continuationNotice" w:id="1">
    <w:p w14:paraId="6BC5F10D" w14:textId="77777777" w:rsidR="002618CB" w:rsidRDefault="002618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5"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F90532F"/>
    <w:multiLevelType w:val="hybridMultilevel"/>
    <w:tmpl w:val="1B7E39AA"/>
    <w:lvl w:ilvl="0" w:tplc="FFFFFFFF">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6"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9"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7"/>
  </w:num>
  <w:num w:numId="5" w16cid:durableId="199491767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3"/>
  </w:num>
  <w:num w:numId="8" w16cid:durableId="66853061">
    <w:abstractNumId w:val="9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3"/>
  </w:num>
  <w:num w:numId="10" w16cid:durableId="1670213939">
    <w:abstractNumId w:val="12"/>
  </w:num>
  <w:num w:numId="11" w16cid:durableId="658192778">
    <w:abstractNumId w:val="78"/>
  </w:num>
  <w:num w:numId="12" w16cid:durableId="1683971953">
    <w:abstractNumId w:val="57"/>
  </w:num>
  <w:num w:numId="13" w16cid:durableId="1802336773">
    <w:abstractNumId w:val="79"/>
  </w:num>
  <w:num w:numId="14" w16cid:durableId="183179212">
    <w:abstractNumId w:val="15"/>
  </w:num>
  <w:num w:numId="15" w16cid:durableId="101072845">
    <w:abstractNumId w:val="5"/>
  </w:num>
  <w:num w:numId="16" w16cid:durableId="1671985423">
    <w:abstractNumId w:val="88"/>
  </w:num>
  <w:num w:numId="17" w16cid:durableId="527718403">
    <w:abstractNumId w:val="14"/>
  </w:num>
  <w:num w:numId="18" w16cid:durableId="336426665">
    <w:abstractNumId w:val="68"/>
  </w:num>
  <w:num w:numId="19" w16cid:durableId="314071016">
    <w:abstractNumId w:val="9"/>
  </w:num>
  <w:num w:numId="20" w16cid:durableId="254241833">
    <w:abstractNumId w:val="21"/>
  </w:num>
  <w:num w:numId="21" w16cid:durableId="2056931042">
    <w:abstractNumId w:val="56"/>
  </w:num>
  <w:num w:numId="22" w16cid:durableId="277881800">
    <w:abstractNumId w:val="61"/>
  </w:num>
  <w:num w:numId="23" w16cid:durableId="2121104171">
    <w:abstractNumId w:val="39"/>
  </w:num>
  <w:num w:numId="24" w16cid:durableId="1956054883">
    <w:abstractNumId w:val="26"/>
  </w:num>
  <w:num w:numId="25" w16cid:durableId="1143275559">
    <w:abstractNumId w:val="43"/>
  </w:num>
  <w:num w:numId="26" w16cid:durableId="337998213">
    <w:abstractNumId w:val="44"/>
  </w:num>
  <w:num w:numId="27" w16cid:durableId="753867088">
    <w:abstractNumId w:val="34"/>
  </w:num>
  <w:num w:numId="28" w16cid:durableId="1388605013">
    <w:abstractNumId w:val="31"/>
  </w:num>
  <w:num w:numId="29" w16cid:durableId="1194684424">
    <w:abstractNumId w:val="45"/>
  </w:num>
  <w:num w:numId="30" w16cid:durableId="195780968">
    <w:abstractNumId w:val="69"/>
  </w:num>
  <w:num w:numId="31" w16cid:durableId="43145658">
    <w:abstractNumId w:val="58"/>
  </w:num>
  <w:num w:numId="32" w16cid:durableId="840119956">
    <w:abstractNumId w:val="85"/>
  </w:num>
  <w:num w:numId="33" w16cid:durableId="788086887">
    <w:abstractNumId w:val="76"/>
  </w:num>
  <w:num w:numId="34" w16cid:durableId="1075589885">
    <w:abstractNumId w:val="38"/>
  </w:num>
  <w:num w:numId="35" w16cid:durableId="1071587299">
    <w:abstractNumId w:val="80"/>
  </w:num>
  <w:num w:numId="36" w16cid:durableId="1091851232">
    <w:abstractNumId w:val="72"/>
  </w:num>
  <w:num w:numId="37" w16cid:durableId="973365770">
    <w:abstractNumId w:val="67"/>
  </w:num>
  <w:num w:numId="38" w16cid:durableId="1834683719">
    <w:abstractNumId w:val="8"/>
  </w:num>
  <w:num w:numId="39" w16cid:durableId="1536116022">
    <w:abstractNumId w:val="74"/>
  </w:num>
  <w:num w:numId="40" w16cid:durableId="1520314102">
    <w:abstractNumId w:val="77"/>
  </w:num>
  <w:num w:numId="41" w16cid:durableId="247882645">
    <w:abstractNumId w:val="6"/>
  </w:num>
  <w:num w:numId="42" w16cid:durableId="1465733113">
    <w:abstractNumId w:val="37"/>
  </w:num>
  <w:num w:numId="43" w16cid:durableId="1899396757">
    <w:abstractNumId w:val="7"/>
  </w:num>
  <w:num w:numId="44" w16cid:durableId="1532566973">
    <w:abstractNumId w:val="2"/>
  </w:num>
  <w:num w:numId="45" w16cid:durableId="1368028164">
    <w:abstractNumId w:val="17"/>
  </w:num>
  <w:num w:numId="46" w16cid:durableId="1589078694">
    <w:abstractNumId w:val="33"/>
  </w:num>
  <w:num w:numId="47" w16cid:durableId="925915457">
    <w:abstractNumId w:val="11"/>
  </w:num>
  <w:num w:numId="48" w16cid:durableId="12804858">
    <w:abstractNumId w:val="25"/>
  </w:num>
  <w:num w:numId="49" w16cid:durableId="1651904155">
    <w:abstractNumId w:val="65"/>
  </w:num>
  <w:num w:numId="50" w16cid:durableId="1799837277">
    <w:abstractNumId w:val="71"/>
  </w:num>
  <w:num w:numId="51" w16cid:durableId="1335303262">
    <w:abstractNumId w:val="52"/>
  </w:num>
  <w:num w:numId="52" w16cid:durableId="2017027243">
    <w:abstractNumId w:val="32"/>
  </w:num>
  <w:num w:numId="53" w16cid:durableId="972100627">
    <w:abstractNumId w:val="54"/>
  </w:num>
  <w:num w:numId="54" w16cid:durableId="581522437">
    <w:abstractNumId w:val="86"/>
  </w:num>
  <w:num w:numId="55" w16cid:durableId="561520335">
    <w:abstractNumId w:val="63"/>
  </w:num>
  <w:num w:numId="56" w16cid:durableId="252054725">
    <w:abstractNumId w:val="40"/>
  </w:num>
  <w:num w:numId="57" w16cid:durableId="1293051579">
    <w:abstractNumId w:val="70"/>
  </w:num>
  <w:num w:numId="58" w16cid:durableId="1169441097">
    <w:abstractNumId w:val="66"/>
  </w:num>
  <w:num w:numId="59" w16cid:durableId="313799950">
    <w:abstractNumId w:val="19"/>
  </w:num>
  <w:num w:numId="60" w16cid:durableId="1577743831">
    <w:abstractNumId w:val="22"/>
  </w:num>
  <w:num w:numId="61" w16cid:durableId="809325268">
    <w:abstractNumId w:val="55"/>
  </w:num>
  <w:num w:numId="62" w16cid:durableId="1225213486">
    <w:abstractNumId w:val="20"/>
  </w:num>
  <w:num w:numId="63" w16cid:durableId="697196576">
    <w:abstractNumId w:val="24"/>
  </w:num>
  <w:num w:numId="64" w16cid:durableId="546991584">
    <w:abstractNumId w:val="1"/>
  </w:num>
  <w:num w:numId="65" w16cid:durableId="1117867917">
    <w:abstractNumId w:val="4"/>
  </w:num>
  <w:num w:numId="66" w16cid:durableId="1443307472">
    <w:abstractNumId w:val="28"/>
  </w:num>
  <w:num w:numId="67" w16cid:durableId="152263208">
    <w:abstractNumId w:val="83"/>
  </w:num>
  <w:num w:numId="68" w16cid:durableId="638533785">
    <w:abstractNumId w:val="35"/>
  </w:num>
  <w:num w:numId="69" w16cid:durableId="1886863922">
    <w:abstractNumId w:val="46"/>
  </w:num>
  <w:num w:numId="70" w16cid:durableId="1612977760">
    <w:abstractNumId w:val="41"/>
  </w:num>
  <w:num w:numId="71" w16cid:durableId="1456874366">
    <w:abstractNumId w:val="36"/>
  </w:num>
  <w:num w:numId="72" w16cid:durableId="1577082966">
    <w:abstractNumId w:val="18"/>
  </w:num>
  <w:num w:numId="73" w16cid:durableId="873807557">
    <w:abstractNumId w:val="49"/>
  </w:num>
  <w:num w:numId="74" w16cid:durableId="118957055">
    <w:abstractNumId w:val="73"/>
  </w:num>
  <w:num w:numId="75" w16cid:durableId="2008944983">
    <w:abstractNumId w:val="60"/>
  </w:num>
  <w:num w:numId="76" w16cid:durableId="559049746">
    <w:abstractNumId w:val="59"/>
  </w:num>
  <w:num w:numId="77" w16cid:durableId="1511330375">
    <w:abstractNumId w:val="42"/>
  </w:num>
  <w:num w:numId="78" w16cid:durableId="1610773526">
    <w:abstractNumId w:val="50"/>
  </w:num>
  <w:num w:numId="79" w16cid:durableId="228275363">
    <w:abstractNumId w:val="64"/>
  </w:num>
  <w:num w:numId="80" w16cid:durableId="1257902246">
    <w:abstractNumId w:val="16"/>
  </w:num>
  <w:num w:numId="81" w16cid:durableId="341979843">
    <w:abstractNumId w:val="47"/>
  </w:num>
  <w:num w:numId="82" w16cid:durableId="1714499501">
    <w:abstractNumId w:val="23"/>
  </w:num>
  <w:num w:numId="83" w16cid:durableId="1959069378">
    <w:abstractNumId w:val="48"/>
  </w:num>
  <w:num w:numId="84" w16cid:durableId="1094979134">
    <w:abstractNumId w:val="84"/>
  </w:num>
  <w:num w:numId="85" w16cid:durableId="1395541">
    <w:abstractNumId w:val="29"/>
  </w:num>
  <w:num w:numId="86" w16cid:durableId="340860459">
    <w:abstractNumId w:val="89"/>
  </w:num>
  <w:num w:numId="87" w16cid:durableId="187839416">
    <w:abstractNumId w:val="13"/>
  </w:num>
  <w:num w:numId="88" w16cid:durableId="2068455209">
    <w:abstractNumId w:val="81"/>
  </w:num>
  <w:num w:numId="89" w16cid:durableId="711808226">
    <w:abstractNumId w:val="51"/>
  </w:num>
  <w:num w:numId="90" w16cid:durableId="183598065">
    <w:abstractNumId w:val="27"/>
  </w:num>
  <w:num w:numId="91" w16cid:durableId="19667098">
    <w:abstractNumId w:val="62"/>
  </w:num>
  <w:num w:numId="92" w16cid:durableId="57824824">
    <w:abstractNumId w:val="82"/>
  </w:num>
  <w:num w:numId="93" w16cid:durableId="1262689335">
    <w:abstractNumId w:val="0"/>
  </w:num>
  <w:num w:numId="94" w16cid:durableId="2026592462">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37A5"/>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5E88"/>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6D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4BB"/>
    <w:rsid w:val="001918DB"/>
    <w:rsid w:val="001920C9"/>
    <w:rsid w:val="00192258"/>
    <w:rsid w:val="00192FD9"/>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0AA"/>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6DD"/>
    <w:rsid w:val="001F179C"/>
    <w:rsid w:val="001F479A"/>
    <w:rsid w:val="001F4B20"/>
    <w:rsid w:val="001F4E87"/>
    <w:rsid w:val="001F59EF"/>
    <w:rsid w:val="001F5B22"/>
    <w:rsid w:val="001F63EF"/>
    <w:rsid w:val="001F715B"/>
    <w:rsid w:val="001F7199"/>
    <w:rsid w:val="002018D3"/>
    <w:rsid w:val="00201E08"/>
    <w:rsid w:val="00202AD7"/>
    <w:rsid w:val="00202ADF"/>
    <w:rsid w:val="00203C24"/>
    <w:rsid w:val="00203FC0"/>
    <w:rsid w:val="00205CC9"/>
    <w:rsid w:val="00205E99"/>
    <w:rsid w:val="00206DEC"/>
    <w:rsid w:val="002104DB"/>
    <w:rsid w:val="00210573"/>
    <w:rsid w:val="00210DE4"/>
    <w:rsid w:val="002111B2"/>
    <w:rsid w:val="002121A7"/>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1F2"/>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8CB"/>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3D0"/>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255"/>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3AB"/>
    <w:rsid w:val="00473BEF"/>
    <w:rsid w:val="00474181"/>
    <w:rsid w:val="00474920"/>
    <w:rsid w:val="00474C95"/>
    <w:rsid w:val="0047511F"/>
    <w:rsid w:val="0047550A"/>
    <w:rsid w:val="004762AE"/>
    <w:rsid w:val="00476399"/>
    <w:rsid w:val="0047674A"/>
    <w:rsid w:val="00476F4E"/>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440"/>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4F4"/>
    <w:rsid w:val="004F3A20"/>
    <w:rsid w:val="004F466E"/>
    <w:rsid w:val="004F48CA"/>
    <w:rsid w:val="004F4E7F"/>
    <w:rsid w:val="004F5A32"/>
    <w:rsid w:val="004F5ADB"/>
    <w:rsid w:val="004F60B1"/>
    <w:rsid w:val="004F6F6D"/>
    <w:rsid w:val="004F71AA"/>
    <w:rsid w:val="0050031B"/>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0ECD"/>
    <w:rsid w:val="005815C3"/>
    <w:rsid w:val="00583418"/>
    <w:rsid w:val="005836E8"/>
    <w:rsid w:val="005837DE"/>
    <w:rsid w:val="0058384F"/>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267"/>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982"/>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6F7894"/>
    <w:rsid w:val="00700960"/>
    <w:rsid w:val="00700AB6"/>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3206"/>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0212"/>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1B5"/>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324B"/>
    <w:rsid w:val="009536EB"/>
    <w:rsid w:val="0095434D"/>
    <w:rsid w:val="00955776"/>
    <w:rsid w:val="00955D24"/>
    <w:rsid w:val="009570DF"/>
    <w:rsid w:val="00957602"/>
    <w:rsid w:val="00957730"/>
    <w:rsid w:val="009577C8"/>
    <w:rsid w:val="00957D2E"/>
    <w:rsid w:val="00957D57"/>
    <w:rsid w:val="0096056A"/>
    <w:rsid w:val="0096083B"/>
    <w:rsid w:val="00962B45"/>
    <w:rsid w:val="00962C11"/>
    <w:rsid w:val="00962EAE"/>
    <w:rsid w:val="00963F1B"/>
    <w:rsid w:val="009642CA"/>
    <w:rsid w:val="00964981"/>
    <w:rsid w:val="00965EA2"/>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2F3"/>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4FE8"/>
    <w:rsid w:val="009B587D"/>
    <w:rsid w:val="009B6008"/>
    <w:rsid w:val="009B6202"/>
    <w:rsid w:val="009B630A"/>
    <w:rsid w:val="009B6FCF"/>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4C23"/>
    <w:rsid w:val="00AC5600"/>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D7204"/>
    <w:rsid w:val="00AE0377"/>
    <w:rsid w:val="00AE0616"/>
    <w:rsid w:val="00AE1083"/>
    <w:rsid w:val="00AE1227"/>
    <w:rsid w:val="00AE1229"/>
    <w:rsid w:val="00AE273E"/>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CFA"/>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3A00"/>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07E73"/>
    <w:rsid w:val="00C10078"/>
    <w:rsid w:val="00C1249F"/>
    <w:rsid w:val="00C124ED"/>
    <w:rsid w:val="00C125C3"/>
    <w:rsid w:val="00C13140"/>
    <w:rsid w:val="00C13336"/>
    <w:rsid w:val="00C1339D"/>
    <w:rsid w:val="00C14A6F"/>
    <w:rsid w:val="00C157BC"/>
    <w:rsid w:val="00C15B76"/>
    <w:rsid w:val="00C15D4C"/>
    <w:rsid w:val="00C1609D"/>
    <w:rsid w:val="00C1686E"/>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8D3"/>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2F6"/>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1BC3"/>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00C8"/>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C9C"/>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3C5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BFA"/>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D7E"/>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778"/>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582E"/>
    <w:rsid w:val="00F5672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4842"/>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206"/>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E13C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845461">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7481933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4848786">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074102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16915275">
      <w:bodyDiv w:val="1"/>
      <w:marLeft w:val="0"/>
      <w:marRight w:val="0"/>
      <w:marTop w:val="0"/>
      <w:marBottom w:val="0"/>
      <w:divBdr>
        <w:top w:val="none" w:sz="0" w:space="0" w:color="auto"/>
        <w:left w:val="none" w:sz="0" w:space="0" w:color="auto"/>
        <w:bottom w:val="none" w:sz="0" w:space="0" w:color="auto"/>
        <w:right w:val="none" w:sz="0" w:space="0" w:color="auto"/>
      </w:divBdr>
    </w:div>
    <w:div w:id="827674697">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3159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9544441">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0170527">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4440">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0887625">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471952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39</TotalTime>
  <Pages>4</Pages>
  <Words>1244</Words>
  <Characters>7093</Characters>
  <Application>Microsoft Office Word</Application>
  <DocSecurity>0</DocSecurity>
  <Lines>59</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[Apple_Jie Cui]</cp:lastModifiedBy>
  <cp:revision>6</cp:revision>
  <cp:lastPrinted>2016-08-05T18:54:00Z</cp:lastPrinted>
  <dcterms:created xsi:type="dcterms:W3CDTF">2025-01-25T22:13:00Z</dcterms:created>
  <dcterms:modified xsi:type="dcterms:W3CDTF">2025-03-28T16:47:00Z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